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VEVVBbg (Brandenburg) — Berichtigung und Abschluß des Stimmberechtigtenverzeichnisses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Berichtigung des Stimmberechtigtenverzeichnisses gilt § 20 der Brandenburgischen Landeswahlverordnung sinngemäß.</w:t>
      </w:r>
    </w:p>
    <w:p>
      <w:r>
        <w:t xml:space="preserve">(2) Der Abschluß des Stimmberechtigtenverzeichnisses wird nach einem gemäß § 35 aufgestellten Vordruckmuster beurkundet; im übrigen gilt § 21 der Brandenburgischen Landeswahlverordnung sinngemäß.</w:t>
      </w:r>
    </w:p>
    <w:p>
      <w:r>
        <w:rPr>
          <w:color w:val="555555"/>
          <w:sz w:val="17"/>
        </w:rPr>
        <w:t xml:space="preserve">Zitiervorschlag: § 9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