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VEVVBbg (Brandenburg) — Bekanntmachung über das Recht auf Einsicht in das Stimmberechtigtenverzeichnis und die Erteilung von Abstimmungsscheinen</w:t>
      </w:r>
    </w:p>
    <w:p>
      <w:r>
        <w:rPr>
          <w:color w:val="555555"/>
          <w:sz w:val="18"/>
        </w:rPr>
        <w:t xml:space="preserve">Volksentscheidsverfahrensverordnung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Abstimmungsbehörde macht spätestens am 24. Tag vor der Abstimmung öffentlich bekannt,</w:t>
      </w:r>
    </w:p>
    <w:p>
      <w:r>
        <w:t xml:space="preserve">dass stimmberechtigten Personen, die in das Stimmberechtigtenverzeichnis eingetragen sind, bis spätestens zum 21. Tag vor der Abstimmung eine Abstimmungsbenachrichtigung zugeht,</w:t>
      </w:r>
    </w:p>
    <w:p>
      <w:r>
        <w:t xml:space="preserve">bei welcher Stelle und in welcher Zeit das Stimmberechtigtenverzeichnis gemäß § 37 Abs. 3 des Volksabstimmungsgesetzes eingesehen werden kann,</w:t>
      </w:r>
    </w:p>
    <w:p>
      <w:r>
        <w:t xml:space="preserve">dass jede Bürgerin und jeder Bürger nach Maßgabe des § 37 Abs. 3 des Volksabstimmungsgesetzes das Recht hat, die Richtigkeit ihrer oder seiner im Stimmberechtigtenverzeichnis eingetragenen personenbezogenen Daten zu überprüfen sowie das Stimmberechtigtenverzeichnis einzusehen,</w:t>
      </w:r>
    </w:p>
    <w:p>
      <w:r>
        <w:t xml:space="preserve">dass bei der Abstimmungsbehörde innerhalb der Einsichtsfrist nach § 37 Absatz 3 Satz 1 des Volksabstimmungsgesetzes schriftlich oder durch Erklärung zur Niederschrift Einspruch gegen das Stimmberechtigtenverzeichnis eingelegt werden kann,</w:t>
      </w:r>
    </w:p>
    <w:p>
      <w:r>
        <w:t xml:space="preserve">bei welcher Stelle, wie lange und zu welchen Tageszeiten sowie unter welchen Voraussetzungen Anträge auf Eintragung in das Stimmberechtigtenverzeichnis gestellt werden können</w:t>
      </w:r>
    </w:p>
    <w:p>
      <w:r>
        <w:t xml:space="preserve">bei welcher Abstimmungsbehörde, in welcher Zeit ein Abstimmungsschein beantragt werden kann und</w:t>
      </w:r>
    </w:p>
    <w:p>
      <w:r>
        <w:t xml:space="preserve">wie durch Briefabstimmung abgestimmt wird.</w:t>
      </w:r>
    </w:p>
    <w:p>
      <w:r>
        <w:rPr>
          <w:color w:val="555555"/>
          <w:sz w:val="17"/>
        </w:rPr>
        <w:t xml:space="preserve">Zitiervorschlag: § 7 VEVVBbg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https://recht.nulegal.eu/gesetze/VEVVBbg/7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