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VEVVBbg (Brandenburg) — Inkrafttreten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29. Februar 1996</w:t>
      </w:r>
    </w:p>
    <w:p>
      <w:r>
        <w:t xml:space="preserve">Der Minister des Innern</w:t>
      </w:r>
    </w:p>
    <w:p>
      <w:r>
        <w:t xml:space="preserve">Alwin Ziel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§ 47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