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VEVVBbg (Brandenburg) — Ermittlung der Ergebnisse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Anschluss an die Wahl- und Abstimmungshandlung (18 Uhr) hat zunächst die Ermittlung und Feststellung des Ergebnisses der Europa-, Bundestags- oder Landtagswahl zu erfolgen.</w:t>
      </w:r>
    </w:p>
    <w:p>
      <w:r>
        <w:t xml:space="preserve">(2) Der Wahlvorstand (Abstimmungsvorstand) darf erst mit der Auszählung der Stimmen für den Volksentscheid beginnen, wenn die Niederschrift über die Ermittlung und Feststellung des Ergebnisses der Europa-, Bundestags- oder Landtagswahl im Wahlbezirk (Stimmbezirk) nach Anlage 25 zu § 65 Absatz 1 der Europawahlordnung, Anlage 29 zu § 72 Absatz 1 der Bundeswahlordnung oder einem Vordruckmuster zu § 70 Absatz 1 Satz 1 der Branden-</w:t>
      </w:r>
    </w:p>
    <w:p>
      <w:r>
        <w:t xml:space="preserve">burgischen Landeswahlverordnung abgeschlossen und die Schnellmeldung über das Ergebnis der Wahl nach Anlage 24 zu § 64 Absatz 7 und § 68 Absatz 4 der Europawahlordnung, Anlage 28 zu § 71 Absatz 7 und § 75 Absatz 4 der Bundeswahlordnung oder einem Vordruckmuster zu § 69 Absatz 5 der Brandenburgischen Landeswahlverordnung erstattet ist sowie die dazugehörigen Wahlunterlagen verpackt und versiegelt sind; dies gilt für die Briefwahlvorstände (Abstimmungswahlvorstände) entsprechend.</w:t>
      </w:r>
    </w:p>
    <w:p>
      <w:r>
        <w:rPr>
          <w:color w:val="555555"/>
          <w:sz w:val="17"/>
        </w:rPr>
        <w:t xml:space="preserve">Zitiervorschlag: § 46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