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VEVVBbg (Brandenburg) — Bekanntmachungen</w:t>
      </w:r>
    </w:p>
    <w:p>
      <w:r>
        <w:rPr>
          <w:color w:val="555555"/>
          <w:sz w:val="18"/>
        </w:rPr>
        <w:t xml:space="preserve">Volksentscheidsverfahrensverordnung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Bekanntmachung für die Europawahl nach § 19 Absatz 1 der Europawahlordnung, die Bekanntmachung für die Bundestagswahl nach § 20 Absatz 1 der Bundeswahlordnung, die Bekanntmachung für die Landtagswahl nach § 16 der Brandenburgischen Landeswahlverordnung oder die Bekanntmachung für die Kommunalwahlen nach § 18 der Brandenburgischen Kommunalwahlverordnung und die Bekanntmachung für den Volksentscheid nach § 7 dieser Verordnung sollen nach Möglichkeit verbunden werden. In der Bekanntmachung ist darauf hinzuweisen, dass</w:t>
      </w:r>
    </w:p>
    <w:p>
      <w:r>
        <w:t xml:space="preserve">die jeweilige Wahl und der Volksentscheid gleichzeitig durchgeführt werden,</w:t>
      </w:r>
    </w:p>
    <w:p>
      <w:r>
        <w:t xml:space="preserve">bei der Briefwahl (Briefabstimmung) für die jeweilige Wahl und den Volksentscheid jeweils gesonderte Wahlbriefe (Abstimmungsbriefe) abzusenden sind; dies gilt nicht, wenn der Volksentscheid gleichzeitig mit der Landtagswahl durchgeführt wird.</w:t>
      </w:r>
    </w:p>
    <w:p>
      <w:r>
        <w:t xml:space="preserve">(2) Die Wahlbekanntmachung für die Europawahl nach § 41 der Europawahlordnung, die Wahlbekanntmachung für die Bundestagswahl nach § 48 der Bundeswahlordnung, die Wahlbekanntmachung für die Landtagswahl nach § 45 der Brandenburgischen Landeswahlverordnung oder die Wahlbekanntmachung für die Kommunalwahlen nach § 42 der Brandenburgischen Kommunalwahlverordnung sollen nach Möglichkeit mit der Abstimmungsbekanntmachung für den Volksentscheid nach § 13 dieser Verordnung verbunden werden. In der Bekanntmachung ist darauf hinzuweisen, dass</w:t>
      </w:r>
    </w:p>
    <w:p>
      <w:r>
        <w:t xml:space="preserve">die jeweilige Wahl und der Volksentscheid gleichzeitig durchgeführt werden,</w:t>
      </w:r>
    </w:p>
    <w:p>
      <w:r>
        <w:t xml:space="preserve">bei der Briefwahl (Briefabstimmung) für die jeweilige Wahl und den Volksentscheid jeweils gesonderte Wahlbriefe (Abstimmungsbriefe) abzusenden sind; dies gilt nicht, wenn der Volksentscheid gleichzeitig mit der Landtagswahl durchgeführt wird.</w:t>
      </w:r>
    </w:p>
    <w:p>
      <w:r>
        <w:rPr>
          <w:color w:val="555555"/>
          <w:sz w:val="17"/>
        </w:rPr>
        <w:t xml:space="preserve">Zitiervorschlag: § 45 VEVVBbg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https://recht.nulegal.eu/gesetze/VEVVBbg/45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