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VEVVBbg (Brandenburg) — Umschläge für die Briefwahl (Briefabstimmung)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Briefwahl müssen sich die Abstimmungsbriefumschläge für den Volksentscheid deutlich von der Farbe der Wahlbriefumschläge für die Europa-, Bundestags- oder Kommunalwahlen unterscheiden.</w:t>
      </w:r>
    </w:p>
    <w:p>
      <w:r>
        <w:t xml:space="preserve">(2) Bei der Briefwahl müssen sich die Stimmzettelumschläge für den Volksentscheid deutlich von der Farbe der Stimmzettelumschläge für die Europa-, Bundestags-, Landtags- oder Kommunalwahlen unterscheiden.</w:t>
      </w:r>
    </w:p>
    <w:p>
      <w:r>
        <w:t xml:space="preserve">(3) Die Landesabstimmungsleiterin oder der Landesabstimmungsleiter kann hierzu nähere Regelungen treffen.</w:t>
      </w:r>
    </w:p>
    <w:p>
      <w:r>
        <w:rPr>
          <w:color w:val="555555"/>
          <w:sz w:val="17"/>
        </w:rPr>
        <w:t xml:space="preserve">Zitiervorschlag: § 44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