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VEVVBbg (Brandenburg) — Wahlberechtigtenverzeichnis (Stimmberechtigtenverzeichnis)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Stimmberechtigtenverzeichnis für den Volksentscheid kann mit dem Wahlberechtigtenverzeichnis für die Europa- oder Bundestagswahl verbunden werden; § 92 der Brandenburgischen Landeswahlverordnung gilt entsprechend.</w:t>
      </w:r>
    </w:p>
    <w:p>
      <w:r>
        <w:t xml:space="preserve">(2) Das Stimmberechtigtenverzeichnis für den Volksentscheid ist mit dem Wahlberechtigtenverzeichnis für die Landtagswahl zu verbinden.</w:t>
      </w:r>
    </w:p>
    <w:p>
      <w:r>
        <w:t xml:space="preserve">(3) Das Stimmberechtigtenverzeichnis für den Volksentscheid kann mit dem Wahlberechtigtenverzeichnis für die Kommunalwahlen verbunden werden; § 92 der Brandenburgischen Landeswahlverordnung gilt sinngemäß.</w:t>
      </w:r>
    </w:p>
    <w:p>
      <w:r>
        <w:rPr>
          <w:color w:val="555555"/>
          <w:sz w:val="17"/>
        </w:rPr>
        <w:t xml:space="preserve">Zitiervorschlag: § 40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https://recht.nulegal.eu/gesetze/VEVVBbg/40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