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VEVVBbg (Brandenburg) — Wahlorgane (Abstimmungsorgane)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nach den bundes- oder landeswahlrechtlichen Vorschriften zu berufenden Mitglieder der Wahlvorstände für die Europa-, Bundestags-, Landtags- oder Kommunalwahlen sollen nach Möglichkeit zugleich als Mitglieder der Abstimmungsvorstände für den Volksentscheid berufen werden. Bei Briefabstimmungsvorständen kann so verfahren werden. § 91 Absatz 2 Satz 3 der Brandenburgischen Landeswahlverordnung gilt entsprechend.</w:t>
      </w:r>
    </w:p>
    <w:p>
      <w:r>
        <w:t xml:space="preserve">(2) Wahlberechtigte Personen, die als Mitglied eines Wahl- oder Abstimmungsvorstandes sowohl für die Europa- oder Bundestagswahl als auch für den Volksentscheid berufen worden sind, erhalten ein Erfrischungsgeld gemäß § 10 Absatz 2 der Bundeswahlordnung (Bundestagswahl) oder § 10 Absatz 2 der Europawahlordnung (Europawahl).</w:t>
      </w:r>
    </w:p>
    <w:p>
      <w:r>
        <w:rPr>
          <w:color w:val="555555"/>
          <w:sz w:val="17"/>
        </w:rPr>
        <w:t xml:space="preserve">Zitiervorschlag: § 39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https://recht.nulegal.eu/gesetze/VEVVBbg/39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