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VEVVBbg (Brandenburg) — Wahllokale (Abstimmungslokale)</w:t>
      </w:r>
    </w:p>
    <w:p>
      <w:r>
        <w:rPr>
          <w:color w:val="555555"/>
          <w:sz w:val="18"/>
        </w:rPr>
        <w:t xml:space="preserve">Volksentscheidsverfahrensverordnung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Der Volksentscheid und die Europa-, Bundestags-, Landtags- oder Kommunalwahlen finden in denselben Wahllokalen (Abstimmungslokalen) statt.</w:t>
      </w:r>
    </w:p>
    <w:p>
      <w:r>
        <w:rPr>
          <w:color w:val="555555"/>
          <w:sz w:val="17"/>
        </w:rPr>
        <w:t xml:space="preserve">Zitiervorschlag: § 38 VEVVBbg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https://recht.nulegal.eu/gesetze/VEVVBbg/38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