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VEVVBbg (Brandenburg) — Abstimmungsvorstand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 dem Abstimmungstag beruft die Abstimmungsbehörde rechtzeitig für jeden Stimmbezirk die Abstimmungsvorsteherin oder den Abstimmungsvorsteher, die Stellvertreterin oder den Stellvertreter und drei bis sieben beisitzende Mitglieder .</w:t>
      </w:r>
    </w:p>
    <w:p>
      <w:r>
        <w:t xml:space="preserve">(2) Der Abstimmungsvorstand ist beschlussfähig</w:t>
      </w:r>
    </w:p>
    <w:p>
      <w:r>
        <w:t xml:space="preserve">während der Abstimmungshandlung, wenn mindestens drei Mitglieder,</w:t>
      </w:r>
    </w:p>
    <w:p>
      <w:r>
        <w:t xml:space="preserve">bei der Ermittlung und Feststellung des Abstimmungsergebnisses, wenn mindestens fünf Mitglieder,</w:t>
      </w:r>
    </w:p>
    <w:p>
      <w:r>
        <w:t xml:space="preserve">darunter jeweils die Abstimmungsvorsteherin oder der Abstimmungsvorsteher und die Schriftführerin oder der Schriftführer oder ihre Stellvertreterinnen oder Stellvertreter , anwesend sind.</w:t>
      </w:r>
    </w:p>
    <w:p>
      <w:r>
        <w:t xml:space="preserve">(3) § 1 Absatz 1 gilt entsprechend.</w:t>
      </w:r>
    </w:p>
    <w:p>
      <w:r>
        <w:t xml:space="preserve">(4) Im übrigen gilt § 5 der Brandenburgischen Landeswahlverordnung sinngemäß.</w:t>
      </w:r>
    </w:p>
    <w:p>
      <w:r>
        <w:rPr>
          <w:color w:val="555555"/>
          <w:sz w:val="17"/>
        </w:rPr>
        <w:t xml:space="preserve">Zitiervorschlag: § 2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