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VEVVBbg (Brandenburg) — Ungültige Stimmen, Zurückweisung von Abstimmungsbriefen, Auslegungsregeln</w:t>
      </w:r>
    </w:p>
    <w:p>
      <w:r>
        <w:rPr>
          <w:color w:val="555555"/>
          <w:sz w:val="18"/>
        </w:rPr>
        <w:t xml:space="preserve">Volksentscheidsverfahrensverordnung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Gültigkeit oder Ungültigkeit von Stimmen sowie die Zulassung oder Zurückweisung von Abstimmungsbriefen richtet sich nach der Vorschrift des § 47 des Volksabstimmungsgesetzes. Ferner gelten folgende ergänzende Regelungen:</w:t>
      </w:r>
    </w:p>
    <w:p>
      <w:r>
        <w:t xml:space="preserve">Enthält im Rahmen der Briefabstimmung ein Stimmzettelumschlag mehrere Stimmzettel, so gelten diese als ein ungültiger Stimmzettel.</w:t>
      </w:r>
    </w:p>
    <w:p>
      <w:r>
        <w:t xml:space="preserve">Ist der Stimmzettelumschlag leer, so gilt der im Rahmen der Briefabstimmung nicht abgegebene Stimmzettel als ungültig.</w:t>
      </w:r>
    </w:p>
    <w:p>
      <w:r>
        <w:rPr>
          <w:color w:val="555555"/>
          <w:sz w:val="17"/>
        </w:rPr>
        <w:t xml:space="preserve">Zitiervorschlag: § 19 VEVVBbg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https://recht.nulegal.eu/gesetze/VEVVBbg/19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