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VEVVBbg (Brandenburg) — Feststellung des Abstimmungsergebnisses im Stimmbezirk</w:t>
      </w:r>
    </w:p>
    <w:p>
      <w:r>
        <w:rPr>
          <w:color w:val="555555"/>
          <w:sz w:val="18"/>
        </w:rPr>
        <w:t xml:space="preserve">Volksentscheidsverfahrensverordnung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Unmittelbar nach Beendigung der Abstimmungshandlung ermittelt der Abstimmungsvorstand ohne Unterbrechung das Ergebnis der Abstimmung im Stimmbezirk. Er stellt fest</w:t>
      </w:r>
    </w:p>
    <w:p>
      <w:r>
        <w:t xml:space="preserve">die Zahl der stimmberechtigten Personen,</w:t>
      </w:r>
    </w:p>
    <w:p>
      <w:r>
        <w:t xml:space="preserve">die Zahl der abstimmenden Personen,</w:t>
      </w:r>
    </w:p>
    <w:p>
      <w:r>
        <w:t xml:space="preserve">die Zahl der gültigen Stimmen,</w:t>
      </w:r>
    </w:p>
    <w:p>
      <w:r>
        <w:t xml:space="preserve">die Zahl der ungültigen Stimmen,</w:t>
      </w:r>
    </w:p>
    <w:p>
      <w:r>
        <w:t xml:space="preserve">die Zahl der gültigen Stimmen, die auf "Ja" lauten und</w:t>
      </w:r>
    </w:p>
    <w:p>
      <w:r>
        <w:t xml:space="preserve">die Zahl der gültigen Stimmen, die auf "Nein" lauten.</w:t>
      </w:r>
    </w:p>
    <w:p>
      <w:r>
        <w:t xml:space="preserve">(2) Die Landesabstimmungsleiterin oder der Landesabstimmungsleiter kann insbesondere in den Fällen des § 44 Abs. 4 des Volksabstimmungsgesetzes sowie der Artikel 78 Abs. 3, 115 Abs. 3 der Verfassung des Landes Brandenburg Regelungen zur Anpassung an besondere Verhältnisse treffen.</w:t>
      </w:r>
    </w:p>
    <w:p>
      <w:r>
        <w:rPr>
          <w:color w:val="555555"/>
          <w:sz w:val="17"/>
        </w:rPr>
        <w:t xml:space="preserve">Zitiervorschlag: § 17 VEVVBbg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https://recht.nulegal.eu/gesetze/VEVVBbg/17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