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VEVVBbg (Brandenburg) — Ausstattung des Abstimmungsvorstandes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Abstimmungsbehörde übergibt der Abstimmungsvorsteherin oder dem Abstimmungsvorsteher eines jeden Stimmbezirks vor Beginn der Abstimmungshandlung</w:t>
      </w:r>
    </w:p>
    <w:p>
      <w:r>
        <w:t xml:space="preserve">das Stimmberechtigtenverzeichnis,</w:t>
      </w:r>
    </w:p>
    <w:p>
      <w:r>
        <w:t xml:space="preserve">das besondere Abstimmungsscheinverzeichnis,</w:t>
      </w:r>
    </w:p>
    <w:p>
      <w:r>
        <w:t xml:space="preserve">amtliche Stimmzettel in genügender Anzahl,</w:t>
      </w:r>
    </w:p>
    <w:p>
      <w:r>
        <w:t xml:space="preserve">einen Vordruck der Abstimmungsniederschrift,</w:t>
      </w:r>
    </w:p>
    <w:p>
      <w:r>
        <w:t xml:space="preserve">einen Vordruck der Schnellmeldung,</w:t>
      </w:r>
    </w:p>
    <w:p>
      <w:r>
        <w:t xml:space="preserve">Textausgaben des Volksabstimmungsgesetzes sowie der Brandenburgischen Landeswahlverordnung und dieser Verordnung,</w:t>
      </w:r>
    </w:p>
    <w:p>
      <w:r>
        <w:t xml:space="preserve">einen Abdruck der Abstimmungsbekanntmachung und ein Muster des Stimmzettels,</w:t>
      </w:r>
    </w:p>
    <w:p>
      <w:r>
        <w:t xml:space="preserve">Verschlußmaterial für die Abstimmungsurne und</w:t>
      </w:r>
    </w:p>
    <w:p>
      <w:r>
        <w:t xml:space="preserve">Verpackungs- und Siegelmaterial zum Verpacken der Stimmzettel und Abstimmungsscheine.</w:t>
      </w:r>
    </w:p>
    <w:p>
      <w:r>
        <w:t xml:space="preserve">(2) Im übrigen gelten die §§ 48 bis 50 der Brandenburgischen Landeswahlverordnung sinngemäß.</w:t>
      </w:r>
    </w:p>
    <w:p>
      <w:r>
        <w:rPr>
          <w:color w:val="555555"/>
          <w:sz w:val="17"/>
        </w:rPr>
        <w:t xml:space="preserve">Zitiervorschlag: § 14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