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VEVVBbg (Brandenburg) — Abstimmungsausschüsse</w:t>
      </w:r>
    </w:p>
    <w:p>
      <w:r>
        <w:rPr>
          <w:color w:val="555555"/>
          <w:sz w:val="18"/>
        </w:rPr>
        <w:t xml:space="preserve">Volksentscheidsverfahrensverordnung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Mitglieder der Abstimmungsausschüsse erhalten Auslagenersatz und Erfrischungsgeld entsprechend § 8 der Brandenburgischen Landeswahlverordnung.</w:t>
      </w:r>
    </w:p>
    <w:p>
      <w:r>
        <w:t xml:space="preserve">(2) Im übrigen gelten die §§ 1 bis 4 der Brandenburgischen Landeswahlverordnung sinngemäß.</w:t>
      </w:r>
    </w:p>
    <w:p>
      <w:r>
        <w:rPr>
          <w:color w:val="555555"/>
          <w:sz w:val="17"/>
        </w:rPr>
        <w:t xml:space="preserve">Zitiervorschlag: § 1 VEVVBbg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https://recht.nulegal.eu/gesetze/VEVVBbg/1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