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VEPPGewG — Verarbeitung von Daten</w:t>
      </w:r>
    </w:p>
    <w:p>
      <w:r>
        <w:rPr>
          <w:color w:val="555555"/>
          <w:sz w:val="18"/>
        </w:rPr>
        <w:t xml:space="preserve">Versorgungsrechtliches Energiepreispauschalen-Gewährungsgesetz</w:t>
      </w:r>
    </w:p>
    <w:p>
      <w:r>
        <w:rPr>
          <w:color w:val="555555"/>
          <w:sz w:val="18"/>
        </w:rPr>
        <w:t xml:space="preserve">Stand: 12.11.2022 (konsolidierte Textfassung, kein amtliches Inkrafttretensdatum)</w:t>
      </w:r>
    </w:p>
    <w:p>
      <w:r>
        <w:t xml:space="preserve">Die in § 1 Absatz 1 genannten Träger der Versorgungsbezüge dürfen die bei ihnen jeweils vorhandenen personenbezogenen Daten verarbeiten, soweit dies zur Durchführung der ihnen nach diesem Gesetz übertragenen Aufgaben erforderlich ist.</w:t>
      </w:r>
    </w:p>
    <w:p>
      <w:r>
        <w:rPr>
          <w:color w:val="555555"/>
          <w:sz w:val="17"/>
        </w:rPr>
        <w:t xml:space="preserve">Zitiervorschlag: § 4 VEPPGewG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https://recht.nulegal.eu/gesetze/VEPPGewG/4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