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VDuG — Gerichtlicher Vergleich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(1) Zur gütlichen Beilegung des Rechtsstreits können die Parteien einen gerichtlichen Vergleich auch mit Wirkung für die im Verbandsklageregister angemeldeten Verbraucher schließen. Der gerichtliche Vergleich kann nicht vor Ablauf des in § 46 Absatz 1 Satz 1 genannten Zeitpunkts geschlossen werden.</w:t>
      </w:r>
    </w:p>
    <w:p>
      <w:r>
        <w:t xml:space="preserve">(2) Der Vergleich bedarf der Genehmigung des Gerichts. Das Gericht genehmigt den Vergleich durch Beschluss, wenn es ihn unter Berücksichtigung des Sach- und Streitstands, insbesondere der Interessen der betroffenen Verbraucher, als angemessene gütliche Beilegung des Rechtsstreits erachtet. Andernfalls lehnt das Gericht die Genehmigung des Vergleichs durch Beschluss ab.</w:t>
      </w:r>
    </w:p>
    <w:p>
      <w:r>
        <w:rPr>
          <w:color w:val="555555"/>
          <w:sz w:val="17"/>
        </w:rPr>
        <w:t xml:space="preserve">Zitiervorschlag: § 9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