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VDuG — Offenlegung von Beweismitteln; Androhung und Festsetzung von Ordnungsgeld</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Ordnet das Gericht die Vorlage einer Urkunde oder sonstiger Unterlagen (§ 142 der Zivilprozessordnung), die Vorlage von Akten (§ 143 der Zivilprozessordnung) oder die Vorlage eines Gegenstandes (§ 144 der Zivilprozessordnung) an, so kann es der vorlagepflichtigen Partei für den Fall, dass diese der Anordnung nicht nachkommt, die Festsetzung eines Ordnungsgelds in Höhe von bis zu 250 000 Euro androhen.</w:t>
      </w:r>
    </w:p>
    <w:p>
      <w:r>
        <w:t xml:space="preserve">(2) Kommt die vorlagepflichtige Partei der gerichtlichen Anordnung trotz Androhung eines Ordnungsgelds nicht nach, so ist das angedrohte Ordnungsgeld durch Beschluss festzusetzen. Das Ordnungsgeld kann erneut festgesetzt werden, wenn die vorlagepflichtige Partei der gerichtlichen Anordnung wiederholt nicht nachkommt.</w:t>
      </w:r>
    </w:p>
    <w:p>
      <w:r>
        <w:rPr>
          <w:color w:val="555555"/>
          <w:sz w:val="17"/>
        </w:rPr>
        <w:t xml:space="preserve">Zitiervorschlag: § 6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