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VDuG — Bekanntmachung von Angaben zu Verbandsklagen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Die folgenden Angaben zu einer rechtshängigen Verbandsklage sind im Verbandsklageregister öffentlich bekannt zu machen:</w:t>
      </w:r>
    </w:p>
    <w:p>
      <w:pPr>
        <w:ind w:left="420"/>
      </w:pPr>
      <w:r>
        <w:t xml:space="preserve">1. Bezeichnung der Parteien,</w:t>
      </w:r>
    </w:p>
    <w:p>
      <w:pPr>
        <w:ind w:left="420"/>
      </w:pPr>
      <w:r>
        <w:t xml:space="preserve">2. Bezeichnung des Gerichts und des Aktenzeichens,</w:t>
      </w:r>
    </w:p>
    <w:p>
      <w:pPr>
        <w:ind w:left="420"/>
      </w:pPr>
      <w:r>
        <w:t xml:space="preserve">3. Art der Verbandsklage,</w:t>
      </w:r>
    </w:p>
    <w:p>
      <w:pPr>
        <w:ind w:left="420"/>
      </w:pPr>
      <w:r>
        <w:t xml:space="preserve">4. Zeitpunkt der Anhängigkeit und der Rechtshängigkeit,</w:t>
      </w:r>
    </w:p>
    <w:p>
      <w:pPr>
        <w:ind w:left="420"/>
      </w:pPr>
      <w:r>
        <w:t xml:space="preserve">5. Abhilfeantrag des Klägers, einschließlich der Merkmale, nach denen sich die Gleichartigkeit der von Verbrauchern geltend gemachten Ansprüche bestimmt, oder die Feststellungsziele,</w:t>
      </w:r>
    </w:p>
    <w:p>
      <w:pPr>
        <w:ind w:left="420"/>
      </w:pPr>
      <w:r>
        <w:t xml:space="preserve">6. kurze Darstellung des vom Kläger vorgetragenen Lebenssachverhalts,</w:t>
      </w:r>
    </w:p>
    <w:p>
      <w:pPr>
        <w:ind w:left="420"/>
      </w:pPr>
      <w:r>
        <w:t xml:space="preserve">7. Zeitpunkt der Bekanntmachung im Verbandsklageregister,</w:t>
      </w:r>
    </w:p>
    <w:p>
      <w:pPr>
        <w:ind w:left="420"/>
      </w:pPr>
      <w:r>
        <w:t xml:space="preserve">8. Befugnis der Verbraucher, Ansprüche oder Rechtsverhältnisse, die mit der Abhilfe- oder Musterfeststellungsklage geltend gemacht werden, zur Eintragung in das Verbandsklageregister anzumelden, Form, Frist und Wirkung der Anmeldung sowie ihrer Rücknahme,</w:t>
      </w:r>
    </w:p>
    <w:p>
      <w:pPr>
        <w:ind w:left="420"/>
      </w:pPr>
      <w:r>
        <w:t xml:space="preserve">9. Terminsbestimmungen, Hinweise und Zwischenentscheidungen des Gerichts,</w:t>
      </w:r>
    </w:p>
    <w:p>
      <w:pPr>
        <w:ind w:left="420"/>
      </w:pPr>
      <w:r>
        <w:t xml:space="preserve">10. gerichtlich genehmigte Vergleiche, Befugnis der angemeldeten Verbraucher zum Austritt aus dem Vergleich, Form, Frist und Wirkung des Austritts,</w:t>
      </w:r>
    </w:p>
    <w:p>
      <w:pPr>
        <w:ind w:left="420"/>
      </w:pPr>
      <w:r>
        <w:t xml:space="preserve">11. Urteile im Verbandsklageverfahren,</w:t>
      </w:r>
    </w:p>
    <w:p>
      <w:pPr>
        <w:ind w:left="420"/>
      </w:pPr>
      <w:r>
        <w:t xml:space="preserve">12. Einlegung eines Rechtsmittels,</w:t>
      </w:r>
    </w:p>
    <w:p>
      <w:pPr>
        <w:ind w:left="420"/>
      </w:pPr>
      <w:r>
        <w:t xml:space="preserve">13. Eintritt der Rechtskraft,</w:t>
      </w:r>
    </w:p>
    <w:p>
      <w:pPr>
        <w:ind w:left="420"/>
      </w:pPr>
      <w:r>
        <w:t xml:space="preserve">14. Beschluss über die Bestellung eines Sachwalters, Beschluss, durch den die Ablehnung eines Sachwalters für begründet erklärt wird, sowie Beschluss über die Entlassung eines Sachwalters,</w:t>
      </w:r>
    </w:p>
    <w:p>
      <w:pPr>
        <w:ind w:left="420"/>
      </w:pPr>
      <w:r>
        <w:t xml:space="preserve">15. Beschluss über die Eröffnung eines Umsetzungsverfahrens,</w:t>
      </w:r>
    </w:p>
    <w:p>
      <w:pPr>
        <w:ind w:left="420"/>
      </w:pPr>
      <w:r>
        <w:t xml:space="preserve">16. Beschluss über die Feststellung der Beendigung des Umsetzungsverfahrens,</w:t>
      </w:r>
    </w:p>
    <w:p>
      <w:pPr>
        <w:ind w:left="420"/>
      </w:pPr>
      <w:r>
        <w:t xml:space="preserve">17. sonstige Beendigung des Verbandsklageverfahrens,</w:t>
      </w:r>
    </w:p>
    <w:p>
      <w:pPr>
        <w:ind w:left="420"/>
      </w:pPr>
      <w:r>
        <w:t xml:space="preserve">18. die Eröffnung des Insolvenzverfahrens über das Vermögen des Unternehmers,</w:t>
      </w:r>
    </w:p>
    <w:p>
      <w:pPr>
        <w:ind w:left="420"/>
      </w:pPr>
      <w:r>
        <w:t xml:space="preserve">19. Verpflichtung des Bundesamts für Justiz, einem angemeldeten Verbraucher auf dessen Verlangen einen Auszug über die Angaben zu überlassen, die im Verbandsklageregister zu ihm und seiner Anmeldung erfasst sind.</w:t>
      </w:r>
    </w:p>
    <w:p>
      <w:r>
        <w:rPr>
          <w:color w:val="555555"/>
          <w:sz w:val="17"/>
        </w:rPr>
        <w:t xml:space="preserve">Zitiervorschlag: § 44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