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VDuG — Verbandsklageregister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(1) Das Bundesamt für Justiz führt ein Register für Verbandsklagen (Verbandsklageregister). Das Verbandsklageregister kann elektronisch betrieben werden.</w:t>
      </w:r>
    </w:p>
    <w:p>
      <w:r>
        <w:t xml:space="preserve">(2) Öffentliche Bekanntmachungen und Eintragungen sind unverzüglich vorzunehmen. Die öffentliche Bekanntmachung von Terminen muss spätestens zwei Wochen vor dem jeweiligen Terminstag erfolgen.</w:t>
      </w:r>
    </w:p>
    <w:p>
      <w:r>
        <w:t xml:space="preserve">(3) Die im Verbandsklageregister erfassten öffentlichen Bekanntmachungen und Eintragungen sind bis zum Schluss des zehnten Jahres nach der rechtskräftigen Entscheidung oder anderweitigen Beendigung des jeweiligen Verbandsklageverfahrens aufzubewahren und sodann zu löschen.</w:t>
      </w:r>
    </w:p>
    <w:p>
      <w:r>
        <w:rPr>
          <w:color w:val="555555"/>
          <w:sz w:val="17"/>
        </w:rPr>
        <w:t xml:space="preserve">Zitiervorschlag: § 43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