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VDuG — Revision</w:t>
      </w:r>
    </w:p>
    <w:p>
      <w:r>
        <w:rPr>
          <w:color w:val="555555"/>
          <w:sz w:val="18"/>
        </w:rPr>
        <w:t xml:space="preserve">Verbraucherrechtedurchsetzungsgesetz</w:t>
      </w:r>
    </w:p>
    <w:p>
      <w:r>
        <w:rPr>
          <w:color w:val="555555"/>
          <w:sz w:val="18"/>
        </w:rPr>
        <w:t xml:space="preserve">Stand: 13.10.2023 (konsolidierte Textfassung, kein amtliches Inkrafttretensdatum)</w:t>
      </w:r>
    </w:p>
    <w:p>
      <w:r>
        <w:t xml:space="preserve">Gegen Musterfeststellungsurteile findet die Revision statt. Diese bedarf keiner Zulassung.</w:t>
      </w:r>
    </w:p>
    <w:p>
      <w:r>
        <w:rPr>
          <w:color w:val="555555"/>
          <w:sz w:val="17"/>
        </w:rPr>
        <w:t xml:space="preserve">Zitiervorschlag: § 42 VDuG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https://recht.nulegal.eu/gesetze/VDuG/42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