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VDuG — Prüfung des Schlussberichts und der Schlussrechnung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Das Gericht prüft den Schlussbericht und die Schlussrechnung des Sachwalters.</w:t>
      </w:r>
    </w:p>
    <w:p>
      <w:r>
        <w:t xml:space="preserve">(2) Beanstandet das Gericht den Schlussbericht oder die Schlussrechnung, so fordert es den Sachwalter unter Fristsetzung dazu auf, der Beanstandung abzuhelfen.</w:t>
      </w:r>
    </w:p>
    <w:p>
      <w:r>
        <w:rPr>
          <w:color w:val="555555"/>
          <w:sz w:val="17"/>
        </w:rPr>
        <w:t xml:space="preserve">Zitiervorschlag: § 35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