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VDuG — Haftung des Sachwalters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Verletzt der Sachwalter schuldhaft ihm nach diesem Gesetz obliegende Pflichten, so ist er zum Schadensersatz verpflichtet, und zwar</w:t>
      </w:r>
    </w:p>
    <w:p>
      <w:pPr>
        <w:ind w:left="420"/>
      </w:pPr>
      <w:r>
        <w:t xml:space="preserve">1. dem Unternehmer, wenn die verletzte Pflicht den Schutz des Unternehmers bezweckt, und</w:t>
      </w:r>
    </w:p>
    <w:p>
      <w:pPr>
        <w:ind w:left="420"/>
      </w:pPr>
      <w:r>
        <w:t xml:space="preserve">2. dem Verbraucher, wenn die verletzte Pflicht den Schutz des Verbrauchers bezweckt.</w:t>
      </w:r>
    </w:p>
    <w:p>
      <w:r>
        <w:t xml:space="preserve">Der Sachwalter hat für die Sorgfalt eines ordentlichen und gewissenhaften Sachwalters einzustehen.</w:t>
      </w:r>
    </w:p>
    <w:p>
      <w:r>
        <w:rPr>
          <w:color w:val="555555"/>
          <w:sz w:val="17"/>
        </w:rPr>
        <w:t xml:space="preserve">Zitiervorschlag: § 31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