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VDuG — Zuständigkeit; Verordnungsermächtigung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Für Verbandsklagen ist dasjenige Oberlandesgericht sachlich und örtlich ausschließlich zuständig, in dessen Bezirk sich der allgemeine Gerichtsstand des Unternehmers, gegen den sich die Verbandsklage richtet, befindet.</w:t>
      </w:r>
    </w:p>
    <w:p>
      <w:r>
        <w:t xml:space="preserve">(2) Regelungen in Rechtsakten der Europäischen Union bleiben unberührt. Regelungen in völkerrechtlichen Vereinbarungen, soweit sie unmittelbar anwendbares innerstaatliches Recht sind, gehen den Vorschriften dieses Gesetzes vor.</w:t>
      </w:r>
    </w:p>
    <w:p>
      <w:r>
        <w:t xml:space="preserve">(3) Die Landesregierungen können durch Rechtsverordnung einem Oberlandesgericht die Entscheidung und Verhandlung für die Bezirke mehrerer Oberlandesgerichte oder dem Obersten Landesgericht zuweisen, sofern</w:t>
      </w:r>
    </w:p>
    <w:p>
      <w:pPr>
        <w:ind w:left="420"/>
      </w:pPr>
      <w:r>
        <w:t xml:space="preserve">1. in dem Land mehrere Oberlandesgerichte errichtet sind und</w:t>
      </w:r>
    </w:p>
    <w:p>
      <w:pPr>
        <w:ind w:left="420"/>
      </w:pPr>
      <w:r>
        <w:t xml:space="preserve">2. die Zuweisung für das Verbandsklageverfahren förderlich ist.</w:t>
      </w:r>
    </w:p>
    <w:p>
      <w:r>
        <w:t xml:space="preserve">Die Landesregierungen können die Ermächtigung durch Rechtsverordnung auf ihre Landesjustizverwaltung übertragen.</w:t>
      </w:r>
    </w:p>
    <w:p>
      <w:r>
        <w:rPr>
          <w:color w:val="555555"/>
          <w:sz w:val="17"/>
        </w:rPr>
        <w:t xml:space="preserve">Zitiervorschlag: § 3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