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VDuG — Zwangsmittel gegen den Unternehmer</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Kommt der Unternehmer einer Aufforderung des Sachwalters zur Erfüllung eines Anspruchs eines Verbrauchers, der auf eine andere vertretbare Handlung als Zahlung oder auf eine nicht vertretbare Handlung gerichtet ist, nicht fristgerecht nach, so kann das Gericht auf Antrag des Sachwalters anordnen, dass der Unternehmer durch Zwangsgeld und für den Fall, dass dieses nicht beigetrieben werden kann, durch Zwangshaft zur Vornahme der anderen vertretbaren Handlung oder der nicht vertretbaren Handlung anzuhalten sei. Für die Zwecke der Vollstreckung der Zwangsmittel tritt der Sachwalter an die Stelle des Gläubigers.</w:t>
      </w:r>
    </w:p>
    <w:p>
      <w:r>
        <w:t xml:space="preserve">(2) Auf andere vertretbare Handlungen als Zahlung ist § 888 der Zivilprozessordnung mit Ausnahme seines Absatzes 1 Satz 1 entsprechend anzuwenden; § 887 Absatz 1 und 2 der Zivilprozessordnung ist auf solche Handlungen nicht anzuwenden. Auf nicht vertretbare Handlungen ist § 888 Absatz 1 Satz 1 der Zivilprozessordnung nicht anzuwenden.</w:t>
      </w:r>
    </w:p>
    <w:p>
      <w:r>
        <w:rPr>
          <w:color w:val="555555"/>
          <w:sz w:val="17"/>
        </w:rPr>
        <w:t xml:space="preserve">Zitiervorschlag: § 29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