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VDuG — Aufgaben des Sachwalters</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Der Sachwalter hat folgende Aufgaben und Befugnisse:</w:t>
      </w:r>
    </w:p>
    <w:p>
      <w:pPr>
        <w:ind w:left="420"/>
      </w:pPr>
      <w:r>
        <w:t xml:space="preserve">1. er weist dem Gericht den Erhalt folgender Beträge nach:</w:t>
      </w:r>
    </w:p>
    <w:p>
      <w:pPr>
        <w:ind w:left="780"/>
      </w:pPr>
      <w:r>
        <w:t xml:space="preserve">a) den Erhalt des vorläufig festgesetzten Kostenbetrags und</w:t>
      </w:r>
    </w:p>
    <w:p>
      <w:pPr>
        <w:ind w:left="780"/>
      </w:pPr>
      <w:r>
        <w:t xml:space="preserve">b) für den Fall der Verurteilung zur Zahlung eines kollektiven Gesamtbetrags den Erhalt des kollektiven Gesamtbetrags sowie gegebenenfalls dessen Erhöhung,</w:t>
      </w:r>
    </w:p>
    <w:p>
      <w:pPr>
        <w:ind w:left="420"/>
      </w:pPr>
      <w:r>
        <w:t xml:space="preserve">2. er kann vom Bundesamt für Justiz einen Auszug aus dem Verbandsklageregister verlangen, der die am Umsetzungsverfahren teilnehmenden Verbraucher sowie sämtliche Angaben ausweist, die im Verbandsklageregister zu den geltend gemachten Ansprüchen vermerkt sind,</w:t>
      </w:r>
    </w:p>
    <w:p>
      <w:pPr>
        <w:ind w:left="420"/>
      </w:pPr>
      <w:r>
        <w:t xml:space="preserve">3. er prüft die Anspruchsberechtigung der am Umsetzungsverfahren teilnehmenden Verbraucher nach Maßgabe des Abhilfegrundurteils,</w:t>
      </w:r>
    </w:p>
    <w:p>
      <w:pPr>
        <w:ind w:left="420"/>
      </w:pPr>
      <w:r>
        <w:t xml:space="preserve">4. er setzt den am Umsetzungsverfahren teilnehmenden Verbrauchern, sofern er dies für erforderlich hält, eine Frist zur Vorlage der Berechtigungsnachweise,</w:t>
      </w:r>
    </w:p>
    <w:p>
      <w:pPr>
        <w:ind w:left="420"/>
      </w:pPr>
      <w:r>
        <w:t xml:space="preserve">5. er kann im Einzelfall ergänzende Erklärungen der Verbraucher oder des Unternehmers verlangen und zu diesem Zwecke Fristen setzen,</w:t>
      </w:r>
    </w:p>
    <w:p>
      <w:pPr>
        <w:ind w:left="420"/>
      </w:pPr>
      <w:r>
        <w:t xml:space="preserve">6. er kann nicht fristgerecht eingegangene Berechtigungsnachweise und Erklärungen zurückweisen, wenn er den betroffenen Verbraucher zuvor auf diese Rechtsfolge hingewiesen hat,</w:t>
      </w:r>
    </w:p>
    <w:p>
      <w:pPr>
        <w:ind w:left="420"/>
      </w:pPr>
      <w:r>
        <w:t xml:space="preserve">7. er stellt die Gesamthöhe der berechtigten Ansprüche aller Verbraucher auf Zahlung in einem Auszahlungsplan zusammen,</w:t>
      </w:r>
    </w:p>
    <w:p>
      <w:pPr>
        <w:ind w:left="420"/>
      </w:pPr>
      <w:r>
        <w:t xml:space="preserve">8. er informiert die Parteien, sofern der kollektive Gesamtbetrag nicht zur Erfüllung der berechtigten Zahlungsansprüche aller angemeldeten Verbraucher ausreicht,</w:t>
      </w:r>
    </w:p>
    <w:p>
      <w:pPr>
        <w:ind w:left="420"/>
      </w:pPr>
      <w:r>
        <w:t xml:space="preserve">9. er erfüllt berechtigte Ansprüche von Verbrauchern auf Zahlung und sorgt für den Fall, dass nach dem Auszahlungsplan der kollektive Gesamtbetrag nicht zur Erfüllung der berechtigten Ansprüche aller Verbraucher ausreicht, für eine gleichmäßige Verteilung,</w:t>
      </w:r>
    </w:p>
    <w:p>
      <w:pPr>
        <w:ind w:left="420"/>
      </w:pPr>
      <w:r>
        <w:t xml:space="preserve">10. er fordert für den Fall der Verurteilung zu einer anderen Leistung als zur Zahlung den Unternehmer zur Erfüllung berechtigter Verbraucheransprüche auf, setzt ihm zu diesem Zweck angemessene Fristen und verlangt die Anzeige der Erfüllung sowie die Vorlage von Nachweisen und</w:t>
      </w:r>
    </w:p>
    <w:p>
      <w:pPr>
        <w:ind w:left="420"/>
      </w:pPr>
      <w:r>
        <w:t xml:space="preserve">11. er kann die Erfüllung geltend gemachter Ansprüche von Verbrauchern ganz oder teilweise ablehnen.</w:t>
      </w:r>
    </w:p>
    <w:p>
      <w:r>
        <w:rPr>
          <w:color w:val="555555"/>
          <w:sz w:val="17"/>
        </w:rPr>
        <w:t xml:space="preserve">Zitiervorschlag: § 27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