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VDuG — Eröffnungsbeschluss</w:t>
      </w:r>
    </w:p>
    <w:p>
      <w:r>
        <w:rPr>
          <w:color w:val="555555"/>
          <w:sz w:val="18"/>
        </w:rPr>
        <w:t xml:space="preserve">Verbraucherrechtedurchsetzungsgesetz</w:t>
      </w:r>
    </w:p>
    <w:p>
      <w:r>
        <w:rPr>
          <w:color w:val="555555"/>
          <w:sz w:val="18"/>
        </w:rPr>
        <w:t xml:space="preserve">Stand: 13.10.2023 (konsolidierte Textfassung, kein amtliches Inkrafttretensdatum)</w:t>
      </w:r>
    </w:p>
    <w:p>
      <w:r>
        <w:t xml:space="preserve">Das Gericht beschließt die Eröffnung des Umsetzungsverfahrens, sobald der Unternehmer die folgenden Beträge zu Händen des Sachwalters gezahlt hat:</w:t>
      </w:r>
    </w:p>
    <w:p>
      <w:pPr>
        <w:ind w:left="420"/>
      </w:pPr>
      <w:r>
        <w:t xml:space="preserve">1. den vorläufig festgesetzten Kostenbetrag (§ 18 Absatz 1 Nummer 2),</w:t>
      </w:r>
    </w:p>
    <w:p>
      <w:pPr>
        <w:ind w:left="420"/>
      </w:pPr>
      <w:r>
        <w:t xml:space="preserve">2. den kollektiven Gesamtbetrag (§ 18 Absatz 2), sofern der Unternehmer zur Zahlung eines solchen verurteilt ist.</w:t>
      </w:r>
    </w:p>
    <w:p>
      <w:r>
        <w:rPr>
          <w:color w:val="555555"/>
          <w:sz w:val="17"/>
        </w:rPr>
        <w:t xml:space="preserve">Zitiervorschlag: § 24 VDuG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https://recht.nulegal.eu/gesetze/VDuG/24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