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23 VDuG — Bestellung des Sachwalters</w:t>
      </w:r>
    </w:p>
    <w:p>
      <w:r>
        <w:rPr>
          <w:color w:val="555555"/>
          <w:sz w:val="18"/>
        </w:rPr>
        <w:t xml:space="preserve">Verbraucherrechtedurchsetzungsgesetz</w:t>
      </w:r>
    </w:p>
    <w:p>
      <w:r>
        <w:rPr>
          <w:color w:val="555555"/>
          <w:sz w:val="18"/>
        </w:rPr>
        <w:t xml:space="preserve">Stand: 13.10.2023 (konsolidierte Textfassung, kein amtliches Inkrafttretensdatum)</w:t>
      </w:r>
    </w:p>
    <w:p>
      <w:r>
        <w:t xml:space="preserve">(1) Das Gericht bestellt einen Sachwalter. Vor der Bestellung sollen die Parteien des Abhilfeverfahrens zur Person des Sachwalters gehört werden.</w:t>
      </w:r>
    </w:p>
    <w:p>
      <w:r>
        <w:t xml:space="preserve">(2) Zum Sachwalter ist eine geeignete und von den Parteien unabhängige Person zu bestellen. Die Unabhängigkeit wird nicht schon dadurch ausgeschlossen, dass die Person von einer Partei vorgeschlagen worden ist. Das Gericht kann von der als Sachwalter vorgesehenen Person den Nachweis einer Berufshaftpflichtversicherung verlangen, deren Deckungssumme dem Umfang des Umsetzungsverfahrens angemessen ist.</w:t>
      </w:r>
    </w:p>
    <w:p>
      <w:r>
        <w:t xml:space="preserve">(3) Der Sachwalter erhält vom Gericht eine Urkunde über seine Bestellung. Bei Beendigung seines Amtes hat der Sachwalter dem Gericht die Urkunde zurückzugeben.</w:t>
      </w:r>
    </w:p>
    <w:p>
      <w:r>
        <w:t xml:space="preserve">(4) Ein Sachwalter kann von den Parteien aus denselben Gründen, die nach § 42 der Zivilprozessordnung zur Ablehnung eines Richters berechtigen, abgelehnt werden. Der Ablehnungsgrund ist glaubhaft zu machen; zur Versicherung an Eides statt darf die Partei nicht zugelassen werden. Ein Sachwalter kann auch wegen Ungeeignetheit abgelehnt werden.</w:t>
      </w:r>
    </w:p>
    <w:p>
      <w:r>
        <w:t xml:space="preserve">(5) Ein Ablehnungsantrag ist binnen zwei Wochen nach der Verkündung oder der Zustellung des Beschlusses über die Bestellung zu stellen. Zu einem späteren Zeitpunkt ist der Antrag auf Ablehnung nur zulässig, wenn die Partei glaubhaft macht, dass sie ohne ihr Verschulden verhindert war, den Ablehnungsgrund früher geltend zu machen.</w:t>
      </w:r>
    </w:p>
    <w:p>
      <w:r>
        <w:t xml:space="preserve">(6) Gegen den Beschluss, durch den die Ablehnung für begründet erklärt wird, findet kein Rechtsmittel statt.</w:t>
      </w:r>
    </w:p>
    <w:p>
      <w:r>
        <w:rPr>
          <w:color w:val="555555"/>
          <w:sz w:val="17"/>
        </w:rPr>
        <w:t xml:space="preserve">Zitiervorschlag: § 23 VDuG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https://recht.nulegal.eu/gesetze/VDuG/23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