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VDuG — Erhöhung des kollektiven Gesamtbetrags</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Die klageberechtigte Stelle kann während des Umsetzungsverfahrens die Erhöhung des kollektiven Gesamtbetrags beantragen. Die Klage ist nur zulässig, wenn die klageberechtigte Stelle Tatsachen vorträgt, aus denen sich ergibt, dass der kollektive Gesamtbetrag nicht zur Erfüllung der berechtigten Zahlungsansprüche aller angemeldeten Verbraucher ausreicht.</w:t>
      </w:r>
    </w:p>
    <w:p>
      <w:r>
        <w:t xml:space="preserve">(2) Reicht der kollektive Gesamtbetrag nicht zur Erfüllung der berechtigten Zahlungsansprüche aller angemeldeten Verbraucher aus, so ist der Unternehmer zur Zahlung eines weiteren kollektiven Gesamtbetrags zu verurteilen, der der Erhöhung entspricht. § 19 gilt entsprechend. Das Umsetzungsverfahren ruht während des Erhöhungsverfahrens.</w:t>
      </w:r>
    </w:p>
    <w:p>
      <w:r>
        <w:rPr>
          <w:color w:val="555555"/>
          <w:sz w:val="17"/>
        </w:rPr>
        <w:t xml:space="preserve">Zitiervorschlag: § 21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