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VDuG — Kosten des Umsetzungsverfahrens</w:t>
      </w:r>
    </w:p>
    <w:p>
      <w:r>
        <w:rPr>
          <w:color w:val="555555"/>
          <w:sz w:val="18"/>
        </w:rPr>
        <w:t xml:space="preserve">Verbraucherrechtedurchsetzungsgesetz</w:t>
      </w:r>
    </w:p>
    <w:p>
      <w:r>
        <w:rPr>
          <w:color w:val="555555"/>
          <w:sz w:val="18"/>
        </w:rPr>
        <w:t xml:space="preserve">Stand: 13.10.2023 (konsolidierte Textfassung, kein amtliches Inkrafttretensdatum)</w:t>
      </w:r>
    </w:p>
    <w:p>
      <w:r>
        <w:t xml:space="preserve">(1) Kosten des Umsetzungsverfahrens im Sinne dieses Gesetzes sind:</w:t>
      </w:r>
    </w:p>
    <w:p>
      <w:pPr>
        <w:ind w:left="420"/>
      </w:pPr>
      <w:r>
        <w:t xml:space="preserve">1. die Auslagen des Sachwalters, insbesondere Verbindlichkeiten, die er zur ordnungsgemäßen Erfüllung seiner Aufgaben begründet, und</w:t>
      </w:r>
    </w:p>
    <w:p>
      <w:pPr>
        <w:ind w:left="420"/>
      </w:pPr>
      <w:r>
        <w:t xml:space="preserve">2. die Vergütung des Sachwalters.</w:t>
      </w:r>
    </w:p>
    <w:p>
      <w:r>
        <w:t xml:space="preserve">(2) Die Kosten des Umsetzungsverfahrens trägt der Unternehmer.</w:t>
      </w:r>
    </w:p>
    <w:p>
      <w:r>
        <w:rPr>
          <w:color w:val="555555"/>
          <w:sz w:val="17"/>
        </w:rPr>
        <w:t xml:space="preserve">Zitiervorschlag: § 20 VDuG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https://recht.nulegal.eu/gesetze/VDuG/20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