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VDuG — Klageberechtigte Stellen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Klageberechtigte Stellen für Verbandsklagen sind</w:t>
      </w:r>
    </w:p>
    <w:p>
      <w:pPr>
        <w:ind w:left="420"/>
      </w:pPr>
      <w:r>
        <w:t xml:space="preserve">1. qualifizierte Verbraucherverbände, die</w:t>
      </w:r>
    </w:p>
    <w:p>
      <w:pPr>
        <w:ind w:left="780"/>
      </w:pPr>
      <w:r>
        <w:t xml:space="preserve">a) in der Liste nach § 4 des Unterlassungsklagengesetzes eingetragen sind und</w:t>
      </w:r>
    </w:p>
    <w:p>
      <w:pPr>
        <w:ind w:left="780"/>
      </w:pPr>
      <w:r>
        <w:t xml:space="preserve">b) nicht mehr als 5 Prozent ihrer finanziellen Mittel durch Zuwendungen von Unternehmen beziehen, sowie</w:t>
      </w:r>
    </w:p>
    <w:p>
      <w:pPr>
        <w:ind w:left="420"/>
      </w:pPr>
      <w:r>
        <w:t xml:space="preserve">2. qualifizierte Einrichtungen aus anderen Mitgliedstaaten der Europäischen Union, die in dem Verzeichnis der Europäischen Kommission nach Artikel 5 Absatz 1 Satz 4 der Richtlinie (EU) 2020/1828 des Europäischen Parlaments und des Rates vom 25. November 2020 über Verbandsklagen zum Schutz der Kollektivinteressen der Verbraucher und zur Aufhebung der Richtlinie 2009/22/EG (ABl. L 409 vom 4.12.2020, S. 1) eingetragen sind.</w:t>
      </w:r>
    </w:p>
    <w:p>
      <w:r>
        <w:t xml:space="preserve">(2) Bestehen ernsthafte Zweifel daran, dass die Voraussetzung nach Absatz 1 Nummer 1 Buchstabe b vorliegt, so verlangt das Gericht vom Kläger die Offenlegung seiner finanziellen Mittel.</w:t>
      </w:r>
    </w:p>
    <w:p>
      <w:r>
        <w:t xml:space="preserve">(3) Es wird unwiderleglich vermutet, dass Verbraucherzentralen und andere Verbraucherverbände, die überwiegend mit öffentlichen Mitteln gefördert werden, die Voraussetzung des Absatzes 1 Nummer 1 Buchstabe b erfüllen.</w:t>
      </w:r>
    </w:p>
    <w:p>
      <w:r>
        <w:rPr>
          <w:color w:val="555555"/>
          <w:sz w:val="17"/>
        </w:rPr>
        <w:t xml:space="preserve">Zitiervorschlag: § 2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