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VDuG — Kollektiver Gesamtbetrag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Das Gericht kann die Höhe des kollektiven Gesamtbetrags unter Würdigung aller Umstände nach freier Überzeugung bestimmen.</w:t>
      </w:r>
    </w:p>
    <w:p>
      <w:r>
        <w:t xml:space="preserve">(2) § 287 der Zivilprozessordnung ist entsprechend anzuwenden.</w:t>
      </w:r>
    </w:p>
    <w:p>
      <w:r>
        <w:rPr>
          <w:color w:val="555555"/>
          <w:sz w:val="17"/>
        </w:rPr>
        <w:t xml:space="preserve">Zitiervorschlag: § 19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