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VDuG — Abhilfeendurteil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Die Urteilsformel des Abhilfeendurteils enthält folgende Angaben:</w:t>
      </w:r>
    </w:p>
    <w:p>
      <w:pPr>
        <w:ind w:left="420"/>
      </w:pPr>
      <w:r>
        <w:t xml:space="preserve">1. die Anordnung des Umsetzungsverfahrens,</w:t>
      </w:r>
    </w:p>
    <w:p>
      <w:pPr>
        <w:ind w:left="420"/>
      </w:pPr>
      <w:r>
        <w:t xml:space="preserve">2. die vorläufige Festsetzung der Kosten des Umsetzungsverfahrens,</w:t>
      </w:r>
    </w:p>
    <w:p>
      <w:pPr>
        <w:ind w:left="420"/>
      </w:pPr>
      <w:r>
        <w:t xml:space="preserve">3. die Verurteilung des Unternehmers zur Zahlung der nach Nummer 2 vorläufig festgesetzten Kosten des Umsetzungsverfahrens zu Händen des Sachwalters sowie</w:t>
      </w:r>
    </w:p>
    <w:p>
      <w:pPr>
        <w:ind w:left="420"/>
      </w:pPr>
      <w:r>
        <w:t xml:space="preserve">4. die Entscheidung über die Kosten des Verfahrens.</w:t>
      </w:r>
    </w:p>
    <w:p>
      <w:r>
        <w:t xml:space="preserve">(2) Wird mit der Abhilfeklage ein kollektiver Gesamtbetrag geltend gemacht, enthält die Urteilsformel außerdem die Verurteilung des Unternehmers zur Zahlung eines solchen Betrags zu Händen des Sachwalters.</w:t>
      </w:r>
    </w:p>
    <w:p>
      <w:r>
        <w:t xml:space="preserve">(3) Das Gericht kann bei Vorliegen besonderer Umstände, insbesondere einer Vielzahl betroffener Verbraucheransprüche, im Abhilfeendurteil die Widerspruchsfrist nach § 28 Absatz 2 Satz 1 angemessen verlängern.</w:t>
      </w:r>
    </w:p>
    <w:p>
      <w:r>
        <w:t xml:space="preserve">(4) Gegen Abhilfeendurteile findet die Revision statt. Diese bedarf keiner Zulassung.</w:t>
      </w:r>
    </w:p>
    <w:p>
      <w:r>
        <w:rPr>
          <w:color w:val="555555"/>
          <w:sz w:val="17"/>
        </w:rPr>
        <w:t xml:space="preserve">Zitiervorschlag: § 18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