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VDuG — Urteil und Abhilfegrundurteil</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Hält das Gericht eine Abhilfeklage, die auf Zahlung eines kollektiven Gesamtbetrags oder auf die Verurteilung zu einer anderen Leistung als zur Zahlung gerichtet ist, dem Grunde nach für begründet, so erlässt es ein Abhilfegrundurteil. Wird die Leistung an namentlich benannte Verbraucher begehrt, entscheidet das Gericht im Fall einer Verurteilung zur Zahlung durch Urteil. Hält das Gericht die Abhilfeklage für unzulässig oder unbegründet, weist es die Klage durch Urteil ab.</w:t>
      </w:r>
    </w:p>
    <w:p>
      <w:r>
        <w:t xml:space="preserve">(2) Die Urteilsformel eines Abhilfegrundurteils enthält folgende Angaben:</w:t>
      </w:r>
    </w:p>
    <w:p>
      <w:pPr>
        <w:ind w:left="420"/>
      </w:pPr>
      <w:r>
        <w:t xml:space="preserve">1. die konkreten Voraussetzungen, nach denen sich die Anspruchsberechtigung der betroffenen Verbraucher bestimmt, und</w:t>
      </w:r>
    </w:p>
    <w:p>
      <w:pPr>
        <w:ind w:left="420"/>
      </w:pPr>
      <w:r>
        <w:t xml:space="preserve">2. die von jedem einzelnen Verbraucher im Umsetzungsverfahren zu erbringenden Berechtigungsnachweise.</w:t>
      </w:r>
    </w:p>
    <w:p>
      <w:r>
        <w:t xml:space="preserve">Wird mit der Abhilfeklage ein kollektiver Gesamtbetrag geltend gemacht, so enthält die Urteilsformel ferner den Betrag, der jedem berechtigten Verbraucher zusteht, oder, wenn die den berechtigten Verbrauchern zustehenden Beträge unterschiedlich hoch sind, die Methode, nach der die den berechtigten Verbrauchern jeweils zustehenden Einzelbeträge zu berechnen sind. Wird mit der Abhilfeklage die Verurteilung zu einer anderen Leistung als zur Zahlung begehrt, so ist die Verurteilung in der Urteilsformel auszusprechen.</w:t>
      </w:r>
    </w:p>
    <w:p>
      <w:r>
        <w:t xml:space="preserve">(3) Im Fall des Absatzes 1 Satz 1 bleibt die Kostenentscheidung dem Abhilfeendurteil vorbehalten.</w:t>
      </w:r>
    </w:p>
    <w:p>
      <w:r>
        <w:t xml:space="preserve">(4) Im Fall des Absatzes 1 Satz 1 entscheidet das Gericht durch Urteil, wenn</w:t>
      </w:r>
    </w:p>
    <w:p>
      <w:pPr>
        <w:ind w:left="420"/>
      </w:pPr>
      <w:r>
        <w:t xml:space="preserve">1. beide Parteien dies beantragen und</w:t>
      </w:r>
    </w:p>
    <w:p>
      <w:pPr>
        <w:ind w:left="420"/>
      </w:pPr>
      <w:r>
        <w:t xml:space="preserve">2. Bemühungen um einen Vergleich nach § 17 Absatz 1 aussichtslos erscheinen.</w:t>
      </w:r>
    </w:p>
    <w:p>
      <w:r>
        <w:t xml:space="preserve">In diesem Fall enthält die Urteilsformel die Angaben nach Absatz 2 und § 18 Absatz 1; § 18 Absatz 2 und 3 ist entsprechend anzuwenden.</w:t>
      </w:r>
    </w:p>
    <w:p>
      <w:r>
        <w:t xml:space="preserve">(5) Gegen Urteile nach den Absätzen 1 und 4 findet die Revision statt. Diese bedarf keiner Zulassung.</w:t>
      </w:r>
    </w:p>
    <w:p>
      <w:r>
        <w:rPr>
          <w:color w:val="555555"/>
          <w:sz w:val="17"/>
        </w:rPr>
        <w:t xml:space="preserve">Zitiervorschlag: § 16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