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VDuG — Abhilfeklage</w:t>
      </w:r>
    </w:p>
    <w:p>
      <w:r>
        <w:rPr>
          <w:color w:val="555555"/>
          <w:sz w:val="18"/>
        </w:rPr>
        <w:t xml:space="preserve">Verbraucherrechtedurchsetzungsgesetz</w:t>
      </w:r>
    </w:p>
    <w:p>
      <w:r>
        <w:rPr>
          <w:color w:val="555555"/>
          <w:sz w:val="18"/>
        </w:rPr>
        <w:t xml:space="preserve">Stand: 13.10.2023 (konsolidierte Textfassung, kein amtliches Inkrafttretensdatum)</w:t>
      </w:r>
    </w:p>
    <w:p>
      <w:r>
        <w:t xml:space="preserve">Mit der Abhilfeklage begehrt die klageberechtigte Stelle die Verurteilung des Unternehmers zu einer Leistung an die betroffenen Verbraucher. Als Leistung kann auch die Zahlung eines kollektiven Gesamtbetrags begehrt werden.</w:t>
      </w:r>
    </w:p>
    <w:p>
      <w:r>
        <w:rPr>
          <w:color w:val="555555"/>
          <w:sz w:val="17"/>
        </w:rPr>
        <w:t xml:space="preserve">Zitiervorschlag: § 14 VDuG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https://recht.nulegal.eu/gesetze/VDuG/14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