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VDuG — Informationspflichten</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Die klageberechtigte Stelle ist verpflichtet, auf ihrer Internetseite zu informieren über:</w:t>
      </w:r>
    </w:p>
    <w:p>
      <w:pPr>
        <w:ind w:left="420"/>
      </w:pPr>
      <w:r>
        <w:t xml:space="preserve">1. Verbandsklagen, die sie erheben will,</w:t>
      </w:r>
    </w:p>
    <w:p>
      <w:pPr>
        <w:ind w:left="420"/>
      </w:pPr>
      <w:r>
        <w:t xml:space="preserve">2. Verbandsklagen, die sie bereits erhoben hat, und</w:t>
      </w:r>
    </w:p>
    <w:p>
      <w:pPr>
        <w:ind w:left="420"/>
      </w:pPr>
      <w:r>
        <w:t xml:space="preserve">3. den Verfahrensstand der Verbandsklagen.</w:t>
      </w:r>
    </w:p>
    <w:p>
      <w:r>
        <w:t xml:space="preserve">Auf der Internetseite ist ferner darüber zu informieren, dass Verbraucher nur dann von den Wirkungen einer Verbandsklage erfasst werden, wenn sie Ansprüche oder Rechtsverhältnisse, die Gegenstand der Verbandsklage sind, zur Eintragung in das Verbandsklageregister anmelden.</w:t>
      </w:r>
    </w:p>
    <w:p>
      <w:r>
        <w:t xml:space="preserve">(2) Wird ein Verfahren über eine Verbandsklage durch unanfechtbaren Beschluss, unanfechtbares Urteil oder durch einen Vergleich nach § 9 beendet, so ist der Beschluss, das Urteil oder der Vergleich in veröffentlichungsfähiger anonymisierter Form ab dem Zeitpunkt der Beendigung des Verfahrens mindestens sechs Monate auf der Internetseite der klageberechtigten Stelle zu veröffentlichen.</w:t>
      </w:r>
    </w:p>
    <w:p>
      <w:r>
        <w:t xml:space="preserve">(3) Die Kosten der Veröffentlichungen auf der Internetseite nach den Absätzen 1 und 2 sind Kosten des Rechtsstreits.</w:t>
      </w:r>
    </w:p>
    <w:p>
      <w:r>
        <w:rPr>
          <w:color w:val="555555"/>
          <w:sz w:val="17"/>
        </w:rPr>
        <w:t xml:space="preserve">Zitiervorschlag: § 12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