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VDuG — Sperrwirkung der Anmeldung; Bindungswirkung</w:t>
      </w:r>
    </w:p>
    <w:p>
      <w:r>
        <w:rPr>
          <w:color w:val="555555"/>
          <w:sz w:val="18"/>
        </w:rPr>
        <w:t xml:space="preserve">Verbraucherrechtedurchsetzungsgesetz</w:t>
      </w:r>
    </w:p>
    <w:p>
      <w:r>
        <w:rPr>
          <w:color w:val="555555"/>
          <w:sz w:val="18"/>
        </w:rPr>
        <w:t xml:space="preserve">Stand: 13.10.2023 (konsolidierte Textfassung, kein amtliches Inkrafttretensdatum)</w:t>
      </w:r>
    </w:p>
    <w:p>
      <w:r>
        <w:t xml:space="preserve">(1) Hat ein Verbraucher vor der Bekanntgabe der Verbandsklage im Verbandsklageregister eine Klage gegen den Unternehmer erhoben, die die Ansprüche oder Rechtsverhältnisse oder Feststellungsziele und den Lebenssachverhalt der Verbandsklage betrifft, und meldet er seinen Anspruch oder sein Rechtsverhältnis zum Verbandsklageregister an, so setzt das Gericht das Verfahren bis zur rechtskräftigen Entscheidung über die Verbandsklage oder bis zur sonstigen Erledigung der Verbandsklage oder bis zur wirksamen Rücknahme der Anmeldung zum Verbandsklageregister aus.</w:t>
      </w:r>
    </w:p>
    <w:p>
      <w:r>
        <w:t xml:space="preserve">(2) Während der Rechtshängigkeit der Verbandsklage kann ein angemeldeter Verbraucher gegen den Unternehmer keine Klage erheben, deren Streitgegenstand denselben Lebenssachverhalt und dieselben Ansprüche oder dieselben Feststellungsziele betrifft.</w:t>
      </w:r>
    </w:p>
    <w:p>
      <w:r>
        <w:t xml:space="preserve">(3) Rechtskräftige Urteile über Verbandsklagen binden ein zur Entscheidung eines Rechtsstreits zwischen einem angemeldeten Verbraucher und dem verklagten Unternehmer berufenes Gericht, soweit dessen Entscheidung den Lebenssachverhalt der Verbandsklage und einen mit der Abhilfeklage geltend gemachten Anspruch oder ein mit der Musterfeststellungsklage geltend gemachtes Feststellungsziel betrifft. Satz 1 gilt nicht für Abhilfeendurteile nach § 18.</w:t>
      </w:r>
    </w:p>
    <w:p>
      <w:r>
        <w:rPr>
          <w:color w:val="555555"/>
          <w:sz w:val="17"/>
        </w:rPr>
        <w:t xml:space="preserve">Zitiervorschlag: § 11 VDuG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https://recht.nulegal.eu/gesetze/VDuG/11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