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VDuG — Verbandsklagen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23.07.2024 (konsolidierte Textfassung, kein amtliches Inkrafttretensdatum)</w:t>
      </w:r>
    </w:p>
    <w:p>
      <w:r>
        <w:t xml:space="preserve">(1) In bürgerlichen Rechtsstreitigkeiten, die Ansprüche und Rechtsverhältnisse einer Vielzahl von Verbrauchern gegen einen Unternehmer betreffen, können klageberechtigte Stellen folgende Verbandsklagen gegen Unternehmer erheben:</w:t>
      </w:r>
    </w:p>
    <w:p>
      <w:pPr>
        <w:ind w:left="420"/>
      </w:pPr>
      <w:r>
        <w:t xml:space="preserve">1. Abhilfeklagen und</w:t>
      </w:r>
    </w:p>
    <w:p>
      <w:pPr>
        <w:ind w:left="420"/>
      </w:pPr>
      <w:r>
        <w:t xml:space="preserve">2. Musterfeststellungsklagen.</w:t>
      </w:r>
    </w:p>
    <w:p>
      <w:r>
        <w:t xml:space="preserve">(2) Kleine Unternehmen gelten als Verbraucher im Sinne dieses Gesetzes. Kleine Unternehmen sind solche, die weniger als 10 Personen beschäftigen und deren Jahresumsatz oder Jahresbilanz 2 Millionen Euro nicht übersteigt.</w:t>
      </w:r>
    </w:p>
    <w:p>
      <w:r>
        <w:t xml:space="preserve">(3) Der Zulässigkeit einer Verbandsklage nach diesem Gesetz steht nicht entgegen, dass wegen desselben Lebenssachverhalts ein Musterverfahren nach dem Kapitalanleger-Musterverfahrensgesetz eröffnet worden ist.</w:t>
      </w:r>
    </w:p>
    <w:p>
      <w:r>
        <w:rPr>
          <w:color w:val="555555"/>
          <w:sz w:val="17"/>
        </w:rPr>
        <w:t xml:space="preserve">Zitiervorschlag: § 1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