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VDV — Ausgestaltung der Deckungsvorsorge für qualifizierte Vertrauensdiensteanbieter</w:t>
      </w:r>
    </w:p>
    <w:p>
      <w:r>
        <w:rPr>
          <w:color w:val="555555"/>
          <w:sz w:val="18"/>
        </w:rPr>
        <w:t xml:space="preserve">Vertrauensdiensteverordnung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Deckungsvorsorge nach Artikel 24 Absatz 2 Buchstabe c zweite Alternative der Verordnung (EU) Nr. 910/2014 in Verbindung mit § 10 des Vertrauensdienstegesetzes kann erbracht werden</w:t>
      </w:r>
    </w:p>
    <w:p>
      <w:pPr>
        <w:ind w:left="420"/>
      </w:pPr>
      <w:r>
        <w:t xml:space="preserve">1. durch die Haftpflichtversicherung bei einem im Geltungsbereich dieser Verordnung, in einem anderen Mitgliedstaat der Europäischen Union oder in einem anderen Vertragsstaat einer Vereinbarung im Sinne des Artikels 14 Absatz 1 der Verordnung (EU) Nr. 910/2014 zum Geschäftsbetrieb befugten Versicherungsunternehmen oder</w:t>
      </w:r>
    </w:p>
    <w:p>
      <w:pPr>
        <w:ind w:left="420"/>
      </w:pPr>
      <w:r>
        <w:t xml:space="preserve">2. durch eine Freistellungs- oder Gewährleistungsverpflichtung eines im Geltungsbereich dieser Verordnung oder in einem anderen Mitgliedstaat der Europäischen Union oder in einem anderen Vertragsstaat einer Vereinbarung im Sinne des Artikels 14 Absatz 1 der Verordnung (EU) Nr. 910/2014 zum Geschäftsbetrieb befugten Kreditinstituts, wenn gewährleistet ist, dass es einer Haftpflichtversicherung vergleichbare Sicherheit bietet.</w:t>
      </w:r>
    </w:p>
    <w:p>
      <w:r>
        <w:t xml:space="preserve">(2) Soweit die Deckungsvorsorge durch eine Versicherung nach Absatz 1 Nummer 1 erbracht wird, gelten die folgenden Bestimmungen:</w:t>
      </w:r>
    </w:p>
    <w:p>
      <w:pPr>
        <w:ind w:left="420"/>
      </w:pPr>
      <w:r>
        <w:t xml:space="preserve">1. Auf diese Versicherung finden § 113 Absatz 2 und 3 und die §§ 114 bis 124 des Versicherungsvertragsgesetzes Anwendung; zuständige Stelle nach § 117 Absatz 2 des Versicherungsvertragsgesetzes ist die zuständige Aufsichtsstelle nach § 2 Absatz 1 des Vertrauensdienstegesetzes.</w:t>
      </w:r>
    </w:p>
    <w:p>
      <w:pPr>
        <w:ind w:left="420"/>
      </w:pPr>
      <w:r>
        <w:t xml:space="preserve">2. Versicherungsfall ist jedes auf den Einzelfall bezogene haftungsauslösende Ereignis im Sinne des Artikels 13 Absatz 1 der Verordnung (EU) Nr. 910/2014, unabhängig von der Anzahl der dadurch ausgelösten Schadensfälle; eine Vereinbarung, wonach ein Fehler, der sich in mehreren Zertifikaten, Signaturen, Siegeln, Zeitstempeln oder in der Auskunft aus der Zertifikatsdatenbank nach Artikel 24 Absatz 2 Buchstabe k der Verordnung (EU) Nr. 910/2014 auswirkt, als ein Versicherungsfall gilt, ist nicht zulässig. Wird eine Jahreshöchstleistung für alle in einem Versicherungsjahr verursachten Schäden vereinbart, muss sie mindestens das Vierfache der Mindestversicherungssumme betragen.</w:t>
      </w:r>
    </w:p>
    <w:p>
      <w:pPr>
        <w:ind w:left="420"/>
      </w:pPr>
      <w:r>
        <w:t xml:space="preserve">3. Der räumliche Geltungsbereich des Versicherungsschutzes kann auf den Geltungsbereich der Verordnung (EU) Nr. 910/2014 beschränkt werden.</w:t>
      </w:r>
    </w:p>
    <w:p>
      <w:pPr>
        <w:ind w:left="420"/>
      </w:pPr>
      <w:r>
        <w:t xml:space="preserve">4. Von der Versicherung kann die Leistung nur ausgeschlossen werden für Ersatzansprüche aus vorsätzlich begangener Pflichtverletzung des Vertrauensdiensteanbieters oder der Personen, für die er einzustehen hat.</w:t>
      </w:r>
    </w:p>
    <w:p>
      <w:pPr>
        <w:ind w:left="420"/>
      </w:pPr>
      <w:r>
        <w:t xml:space="preserve">5. Die Vereinbarung eines Selbstbehaltes in Höhe von bis zu 1 Prozent der Mindestversicherungssumme ist zulässig.</w:t>
      </w:r>
    </w:p>
    <w:p>
      <w:r>
        <w:rPr>
          <w:color w:val="555555"/>
          <w:sz w:val="17"/>
        </w:rPr>
        <w:t xml:space="preserve">Zitiervorschlag: § 2 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