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VDV — Anforderungen an die Barrierefreiheit</w:t>
      </w:r>
    </w:p>
    <w:p>
      <w:r>
        <w:rPr>
          <w:color w:val="555555"/>
          <w:sz w:val="18"/>
        </w:rPr>
        <w:t xml:space="preserve">Vertrauensdiensteverordnung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Barrierefreie Vertrauensdienste gemäß § 7 Absatz 1 des Vertrauensdienstegesetzes sind, soweit technisch möglich, für Menschen mit Behinderungen wahrnehmbar, bedienbar, verständlich und robust zu gestalten. Hinweise und Informationen zur Barrierefreiheit nach § 7 Absatz 2 des Vertrauensdienstegesetzes müssen barrierefrei, wahrnehmbar und verständlich sein. Dabei haben sie sich am Stand der Technik zu orientieren.</w:t>
      </w:r>
    </w:p>
    <w:p>
      <w:r>
        <w:rPr>
          <w:color w:val="555555"/>
          <w:sz w:val="17"/>
        </w:rPr>
        <w:t xml:space="preserve">Zitiervorschlag: § 1 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