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VDG — Bußgeldvorschriften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12 Absatz 1 Satz 2, 3 oder 4 oder Absatz 2, jeweils auch in Verbindung mit Absatz 3 Satz 1 oder einer Rechtsverordnung nach § 20 Absatz 2 Nummer 1, eine Angabe in ein qualifiziertes Zertifikat aufnimmt,</w:t>
      </w:r>
    </w:p>
    <w:p>
      <w:pPr>
        <w:ind w:left="420"/>
      </w:pPr>
      <w:r>
        <w:t xml:space="preserve">2. entgegen § 14 Absatz 1 Satz 1 Nummer 1 bis 4 oder § 16 Absatz 1 Satz 2 ein Zertifikat nicht oder nicht rechtzeitig widerruft,</w:t>
      </w:r>
    </w:p>
    <w:p>
      <w:pPr>
        <w:ind w:left="420"/>
      </w:pPr>
      <w:r>
        <w:t xml:space="preserve">3. entgegen § 16 Absatz 1 Satz 3, auch in Verbindung mit der Rechtsverordnung nach § 20 Absatz 2 Nummer 1, nicht sicherstellt, dass eine Aufzeichnung übermittelt wird, oder</w:t>
      </w:r>
    </w:p>
    <w:p>
      <w:pPr>
        <w:ind w:left="420"/>
      </w:pPr>
      <w:r>
        <w:t xml:space="preserve">4. entgegen § 16 Absatz 2 in Verbindung mit der Rechtsverordnung nach § 20 Absatz 2 Nummer 1 eine dort genannte Vorkehrung nicht oder nicht rechtzeitig trifft.</w:t>
      </w:r>
    </w:p>
    <w:p>
      <w:r>
        <w:t xml:space="preserve">(2) Ordnungswidrig handelt, wer gegen die Verordnung (EU) Nr. 910/2014 des Europäischen Parlaments und des Rates vom 23. Juli 2014 über elektronische Identifizierung und Vertrauensdienste für elektronische Transaktionen im Binnenmarkt und zur Aufhebung der Richtlinie 1999/93/EG (ABl. L 257 vom 28.8.2014, S. 73; L 23 vom 29.1.2015, S. 19) verstößt, indem er vorsätzlich oder fahrlässig</w:t>
      </w:r>
    </w:p>
    <w:p>
      <w:pPr>
        <w:ind w:left="420"/>
      </w:pPr>
      <w:r>
        <w:t xml:space="preserve">1. entgegen Artikel 19 Absatz 2 Unterabsatz 1 eine Meldung nicht, nicht richtig oder nicht rechtzeitig macht,</w:t>
      </w:r>
    </w:p>
    <w:p>
      <w:pPr>
        <w:ind w:left="420"/>
      </w:pPr>
      <w:r>
        <w:t xml:space="preserve">2. entgegen Artikel 19 Absatz 2 Unterabsatz 2 eine Person nicht, nicht richtig oder nicht rechtzeitig unterrichtet,</w:t>
      </w:r>
    </w:p>
    <w:p>
      <w:pPr>
        <w:ind w:left="420"/>
      </w:pPr>
      <w:r>
        <w:t xml:space="preserve">3. entgegen Artikel 21 Absatz 1 eine Mitteilung nicht, nicht richtig oder nicht rechtzeitig vorlegt,</w:t>
      </w:r>
    </w:p>
    <w:p>
      <w:pPr>
        <w:ind w:left="420"/>
      </w:pPr>
      <w:r>
        <w:t xml:space="preserve">4. entgegen Artikel 24 Absatz 1 Unterabsatz 1 die Identität einer Person nicht oder nicht rechtzeitig überprüft,</w:t>
      </w:r>
    </w:p>
    <w:p>
      <w:pPr>
        <w:ind w:left="420"/>
      </w:pPr>
      <w:r>
        <w:t xml:space="preserve">5. entgegen Artikel 24 Absatz 2 Buchstabe c in Verbindung mit § 10 in Verbindung mit einer Rechtsverordnung nach § 20 Absatz 2 Nummer 3 eine Haftpflichtversicherung nicht oder nicht rechtzeitig abschließt,</w:t>
      </w:r>
    </w:p>
    <w:p>
      <w:pPr>
        <w:ind w:left="420"/>
      </w:pPr>
      <w:r>
        <w:t xml:space="preserve">6. entgegen Artikel 24 Absatz 2 Buchstabe e oder f, jeweils in Verbindung mit einer Rechtsverordnung nach § 20 Absatz 2 Nummer 1, ein vertrauenswürdiges System oder Produkt nicht verwendet,</w:t>
      </w:r>
    </w:p>
    <w:p>
      <w:pPr>
        <w:ind w:left="420"/>
      </w:pPr>
      <w:r>
        <w:t xml:space="preserve">7. entgegen Artikel 24 Absatz 2 Buchstabe g in Verbindung mit einer Rechtsverordnung nach § 20 Absatz 2 Nummer 1 eine dort genannte Maßnahme nicht oder nicht rechtzeitig trifft,</w:t>
      </w:r>
    </w:p>
    <w:p>
      <w:pPr>
        <w:ind w:left="420"/>
      </w:pPr>
      <w:r>
        <w:t xml:space="preserve">8. entgegen Artikel 24 Absatz 2 Buchstabe h Satz 1 eine Information nicht richtig aufzeichnet oder</w:t>
      </w:r>
    </w:p>
    <w:p>
      <w:pPr>
        <w:ind w:left="420"/>
      </w:pPr>
      <w:r>
        <w:t xml:space="preserve">9. entgegen Artikel 24 Absatz 3 Satz 1 einen Widerruf nicht oder nicht rechtzeitig veröffentlicht.</w:t>
      </w:r>
    </w:p>
    <w:p>
      <w:r>
        <w:t xml:space="preserve">(3) Die Ordnungswidrigkeit kann in den Fällen des Absatzes 2 Nummer 5 bis 8 mit einer Geldbuße bis zu einhunderttausend Euro, in den übrigen Fällen mit einer Geldbuße bis zu zwanzigtausend Euro geahndet werden.</w:t>
      </w:r>
    </w:p>
    <w:p>
      <w:r>
        <w:t xml:space="preserve">(4) Verwaltungsbehörden im Sinne des § 36 Absatz 1 Nummer 1 des Gesetzes über Ordnungswidrigkeiten sind die Bundesnetzagentur und das Bundesamt für Sicherheit in der Informationstechnik jeweils im Rahmen ihrer Zuständigkeit nach § 2 Absatz 1.</w:t>
      </w:r>
    </w:p>
    <w:p>
      <w:r>
        <w:rPr>
          <w:color w:val="555555"/>
          <w:sz w:val="17"/>
        </w:rPr>
        <w:t xml:space="preserve">Zitiervorschlag: § 19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