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VDG — Benannte Stellen nach Artikel 30 Absatz 1 der Verordnung (EU) Nr. 910/2014</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Die Bundesnetzagentur benennt auf Antrag eine Organisation als private Stelle gemäß Artikel 30 Absatz 1 der Verordnung (EU) Nr. 910/2014 sowie gemäß Artikel 39 Absatz 2 in Verbindung mit Artikel 30 Absatz 1 der Verordnung (EU) Nr. 910/2014, sofern die Akkreditierungsstelle nach § 1 Absatz 1 des Akkreditierungsstellengesetzes durch Akkreditierung festgestellt hat, dass die private Stelle die erforderlichen Anforderungen erfüllt. Die Benennung kann</w:t>
      </w:r>
    </w:p>
    <w:p>
      <w:pPr>
        <w:ind w:left="420"/>
      </w:pPr>
      <w:r>
        <w:t xml:space="preserve">1. inhaltlich beschränkt werden, vorläufig erteilt werden oder mit einer Befristung versehen erteilt werden und</w:t>
      </w:r>
    </w:p>
    <w:p>
      <w:pPr>
        <w:ind w:left="420"/>
      </w:pPr>
      <w:r>
        <w:t xml:space="preserve">2. mit Auflagen verbunden sein.</w:t>
      </w:r>
    </w:p>
    <w:p>
      <w:r>
        <w:t xml:space="preserve">(2) Solange die Europäische Kommission keine delegierten Rechtsakte nach Artikel 30 Absatz 4 der Verordnung (EU) Nr. 910/2014 erlassen hat, erstellt und veröffentlicht</w:t>
      </w:r>
    </w:p>
    <w:p>
      <w:pPr>
        <w:ind w:left="420"/>
      </w:pPr>
      <w:r>
        <w:t xml:space="preserve">1. die Akkreditierungsstelle die fachlichen Kriterien, die für die Akkreditierung zu erfüllen sind, und</w:t>
      </w:r>
    </w:p>
    <w:p>
      <w:pPr>
        <w:ind w:left="420"/>
      </w:pPr>
      <w:r>
        <w:t xml:space="preserve">2. die Bundesnetzagentur die fachlichen Kriterien, die für die Benennung als private Stelle nach Artikel 30 Absatz 1 der Verordnung (EU) Nr. 910/2014 zu erfüllen sind.</w:t>
      </w:r>
    </w:p>
    <w:p>
      <w:r>
        <w:t xml:space="preserve">Die Erstellung der fachlichen Kriterien erfolgt unter maßgeblicher Berücksichtigung der Entscheidung der Kommission vom 6. November 2000 über die Mindestkriterien, die von den Mitgliedstaaten bei der Benennung der Stellen gemäß Artikel 3 Absatz 4 der Richtlinie 1999/93/EG des Europäischen Parlaments und des Rates über gemeinschaftliche Rahmenbedingungen für elektronische Signaturen zu berücksichtigen sind (ABl. L 289 vom 16.11.2000, S. 42).</w:t>
      </w:r>
    </w:p>
    <w:p>
      <w:r>
        <w:t xml:space="preserve">(3) Eine Stelle, die nach § 17 Absatz 4 Satz 1 des Signaturgesetzes in Verbindung mit § 18 des Signaturgesetzes anerkannt wurde, nimmt hinsichtlich der von ihr auf Grundlage des Signaturgesetzes bestätigten Produkte ihre hiermit zusammenhängenden Aufgaben bis zum Auslaufen der entsprechenden Produktbestätigungen wahr.</w:t>
      </w:r>
    </w:p>
    <w:p>
      <w:r>
        <w:t xml:space="preserve">(4) Das Bundesamt für Sicherheit in der Informationstechnik ist die öffentliche Stelle gemäß Artikel 30 Absatz 1 der Verordnung (EU) Nr. 910/2014 sowie gemäß Artikel 39 Absatz 2 in Verbindung mit Artikel 30 Absatz 1 der Verordnung (EU) Nr. 910/2014.</w:t>
      </w:r>
    </w:p>
    <w:p>
      <w:r>
        <w:rPr>
          <w:color w:val="555555"/>
          <w:sz w:val="17"/>
        </w:rPr>
        <w:t xml:space="preserve">Zitiervorschlag: § 17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