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VDG — Beendigungsplan; auf Dauer prüfbare Vertrauensdienste</w:t>
      </w:r>
    </w:p>
    <w:p>
      <w:r>
        <w:rPr>
          <w:color w:val="555555"/>
          <w:sz w:val="18"/>
        </w:rPr>
        <w:t xml:space="preserve">Vertrauensdienstegesetz</w:t>
      </w:r>
    </w:p>
    <w:p>
      <w:r>
        <w:rPr>
          <w:color w:val="555555"/>
          <w:sz w:val="18"/>
        </w:rPr>
        <w:t xml:space="preserve">Stand: 10.06.2019 (konsolidierte Textfassung, kein amtliches Inkrafttretensdatum)</w:t>
      </w:r>
    </w:p>
    <w:p>
      <w:r>
        <w:t xml:space="preserve">(1) In dem Beendigungsplan nach Artikel 24 Absatz 2 Buchstabe i der Verordnung (EU) Nr. 910/2014 hat ein qualifizierter Vertrauensdiensteanbieter alle erforderlichen Maßnahmen vorzusehen, damit bei Einstellung der Tätigkeit, bei Entzug des Qualifikationsstatus oder wenn die Eröffnung eines Insolvenzverfahrens beantragt und die Tätigkeit nicht fortgesetzt wird, alle von ihm ausgegebenen qualifizierten Zertifikate im Zusammenhang mit elektronischen Signaturen und Siegeln sowie Zertifikate im Zusammenhang mit Anhang I Buchstabe g, Anhang III Buchstabe g und Artikel 42 Absatz 1 Buchstabe c der Verordnung (EU) Nr. 910/2014 einschließlich der Widerrufsinformationen</w:t>
      </w:r>
    </w:p>
    <w:p>
      <w:pPr>
        <w:ind w:left="420"/>
      </w:pPr>
      <w:r>
        <w:t xml:space="preserve">1. von einem anderen qualifizierten Vertrauensdiensteanbieter übernommen werden können oder</w:t>
      </w:r>
    </w:p>
    <w:p>
      <w:pPr>
        <w:ind w:left="420"/>
      </w:pPr>
      <w:r>
        <w:t xml:space="preserve">2. von der Bundesnetzagentur in die Vertrauensinfrastruktur nach Absatz 5 übernommen werden können.</w:t>
      </w:r>
    </w:p>
    <w:p>
      <w:r>
        <w:t xml:space="preserve">Im Falle von Satz 1 Nummer 2 hat der qualifizierte Vertrauensdiensteanbieter die noch gültigen Zertifikate vor der Übermittlung an die Bundesnetzagentur zu widerrufen. Er hat in jedem Fall sicherzustellen, dass die dazugehörigen Aufzeichnungen nach Artikel 24 Absatz 2 Buchstabe h der Verordnung (EU) Nr. 910/2014 an den Übernehmenden übermittelt werden.</w:t>
      </w:r>
    </w:p>
    <w:p>
      <w:r>
        <w:t xml:space="preserve">(2) Im Beendigungsplan hat der qualifizierte Vertrauensdiensteanbieter auch Vorkehrungen zu treffen, um die Inhaber der in Absatz 1 Satz 1 genannten Zertifikate, soweit möglich, mindestens zwei Monate im Voraus über die Einstellung seiner Tätigkeit und über die Übernahme seiner Zertifikate zu benachrichtigen.</w:t>
      </w:r>
    </w:p>
    <w:p>
      <w:r>
        <w:t xml:space="preserve">(3) In den Fällen des Absatzes 1 Satz 1 Nummer 2 erteilt die Bundesnetzagentur bei Vorliegen eines berechtigten Interesses Auskunft zu den Aufzeichnungen, soweit dies technisch und ohne unverhältnismäßig großen Aufwand möglich ist. Ein darüber hinausgehendes Auskunftsrecht gemäß § 19 des Bundesdatenschutzgesetzes und nach Artikel 15 der Verordnung (EU) 2016/679 bleibt hiervon unberührt.</w:t>
      </w:r>
    </w:p>
    <w:p>
      <w:r>
        <w:t xml:space="preserve">(4) Qualifizierte Vertrauensdiensteanbieter haben für die gesamte Zeit ihres Betriebs</w:t>
      </w:r>
    </w:p>
    <w:p>
      <w:pPr>
        <w:ind w:left="420"/>
      </w:pPr>
      <w:r>
        <w:t xml:space="preserve">1. die in Absatz 1 Satz 1 genannten Zertifikate auch über den Zeitraum ihrer Gültigkeit hinaus zusammen mit den dazugehörigen Widerrufsinformationen in einer Zertifikatsdatenbank nach Artikel 24 Absatz 2 Buchstabe k und Absatz 4 der Verordnung (EU) Nr. 910/2014 zu führen und</w:t>
      </w:r>
    </w:p>
    <w:p>
      <w:pPr>
        <w:ind w:left="420"/>
      </w:pPr>
      <w:r>
        <w:t xml:space="preserve">2. die dazugehörigen Aufzeichnungen nach Artikel 24 Absatz 2 Buchstabe h der Verordnung (EU) Nr. 910/2014 aufzubewahren.</w:t>
      </w:r>
    </w:p>
    <w:p>
      <w:r>
        <w:t xml:space="preserve">(5) Die Bundesnetzagentur hat eine Vertrauensinfrastruktur zur dauerhaften Prüfbarkeit qualifizierter elektronischer Zertifikate und qualifizierter elektronischer Zeitstempel einzurichten, zu unterhalten und laufend zu aktualisieren. Näheres regelt die Rechtsverordnung nach § 20 Absatz 2 Nummer 5.</w:t>
      </w:r>
    </w:p>
    <w:p>
      <w:r>
        <w:rPr>
          <w:color w:val="555555"/>
          <w:sz w:val="17"/>
        </w:rPr>
        <w:t xml:space="preserve">Zitiervorschlag: § 16 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