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10 VDG — Deckungsvorsorge</w:t>
      </w:r>
    </w:p>
    <w:p>
      <w:r>
        <w:rPr>
          <w:color w:val="555555"/>
          <w:sz w:val="18"/>
        </w:rPr>
        <w:t xml:space="preserve">Vertrauensdienstegesetz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Mindestsumme für die gemäß Artikel 24 Absatz 2 Buchstabe c der Verordnung (EU) Nr. 910/2014 erforderliche angemessene Deckungsvorsorge beträgt jeweils 250 000 Euro für einen Schaden, der durch ein haftungsauslösendes Ereignis gemäß Artikel 13 der Verordnung (EU) Nr. 910/2014 verursacht worden ist.</w:t>
      </w:r>
    </w:p>
    <w:p>
      <w:r>
        <w:rPr>
          <w:color w:val="555555"/>
          <w:sz w:val="17"/>
        </w:rPr>
        <w:t xml:space="preserve">Zitiervorschlag: § 10 VDG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https://recht.nulegal.eu/gesetze/VDG/10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