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VBVG 2023 — Vergütung und Aufwendungsersatz des beruflichen Betreuers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Ein beruflicher Betreuer nach § 19 Absatz 2 des Betreuungsorganisationsgesetzes, der selbständig rechtliche Betreuungen führt, kann vom Betreuten Vergütung und Aufwendungsersatz nach Maßgabe der §§ 8 bis 11, 14 und 15 verlangen.</w:t>
      </w:r>
    </w:p>
    <w:p>
      <w:r>
        <w:t xml:space="preserve">(2) Ist ein beruflicher Betreuer nach § 19 Absatz 2 des Betreuungsorganisationsgesetzes, der als Mitarbeiter eines anerkannten Betreuungsvereins rechtliche Betreuungen führt, als Vereinsbetreuer bestellt, kann der Betreuungsverein vom Betreuten Vergütung und Aufwendungsersatz nach Maßgabe der §§ 8 bis 11, 14 und 15 verlangen. Der Vereinsbetreuer selbst kann keine Vergütung und keinen Aufwendungsersatz geltend machen.</w:t>
      </w:r>
    </w:p>
    <w:p>
      <w:r>
        <w:t xml:space="preserve">(3) Die Bewilligung der Zahlung erfolgt durch das Betreuungsgericht nach § 292 des Gesetzes über das Verfahren in Familiensachen und in den Angelegenheiten der freiwilligen Gerichtsbarkeit.</w:t>
      </w:r>
    </w:p>
    <w:p>
      <w:r>
        <w:rPr>
          <w:color w:val="555555"/>
          <w:sz w:val="17"/>
        </w:rPr>
        <w:t xml:space="preserve">Zitiervorschlag: § 7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