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VBVG 2023 — Vergütung und Aufwendungsersatz für das Jugendamt</w:t>
      </w:r>
    </w:p>
    <w:p>
      <w:r>
        <w:rPr>
          <w:color w:val="555555"/>
          <w:sz w:val="18"/>
        </w:rPr>
        <w:t xml:space="preserve">Vormünder- und Betreuervergütungsgesetz</w:t>
      </w:r>
    </w:p>
    <w:p>
      <w:r>
        <w:rPr>
          <w:color w:val="555555"/>
          <w:sz w:val="18"/>
        </w:rPr>
        <w:t xml:space="preserve">Stand: 07.07.2022 (konsolidierte Textfassung, kein amtliches Inkrafttretensdatum)</w:t>
      </w:r>
    </w:p>
    <w:p>
      <w:r>
        <w:t xml:space="preserve">(1) Dem Jugendamt als Vormund steht keine Vergütung zu.</w:t>
      </w:r>
    </w:p>
    <w:p>
      <w:r>
        <w:t xml:space="preserve">(2) Für seine Aufwendungen kann das Jugendamt keinen Vorschuss verlangen. Es kann in entsprechender Anwendung von § 1877 Absatz 1 des Bürgerlichen Gesetzbuchs Ersatz nur insoweit verlangen, als der Mündel nicht mittellos im Sinne von § 1880 des Bürgerlichen Gesetzbuchs ist. Allgemeine Verwaltungskosten werden nicht ersetzt.</w:t>
      </w:r>
    </w:p>
    <w:p>
      <w:r>
        <w:rPr>
          <w:color w:val="555555"/>
          <w:sz w:val="17"/>
        </w:rPr>
        <w:t xml:space="preserve">Zitiervorschlag: § 6 VBVG 2023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https://recht.nulegal.eu/gesetze/VBVG%202023/6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