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VBVG 2023 — Vergütung und Aufwendungsersatz für Vormundschaftsvereine</w:t>
      </w:r>
    </w:p>
    <w:p>
      <w:r>
        <w:rPr>
          <w:color w:val="555555"/>
          <w:sz w:val="18"/>
        </w:rPr>
        <w:t xml:space="preserve">Vormünder- und Betreuervergütungsgesetz</w:t>
      </w:r>
    </w:p>
    <w:p>
      <w:r>
        <w:rPr>
          <w:color w:val="555555"/>
          <w:sz w:val="18"/>
        </w:rPr>
        <w:t xml:space="preserve">Stand: 07.07.2022 (konsolidierte Textfassung, kein amtliches Inkrafttretensdatum)</w:t>
      </w:r>
    </w:p>
    <w:p>
      <w:r>
        <w:t xml:space="preserve">(1) Ist ein Vereinsvormund bestellt oder führt der Verein eine Beistandschaft, so ist dem Verein eine Vergütung in entsprechender Anwendung von § 3 zu bewilligen. Ist der Verein als vorläufiger Vormund bestellt, ist ihm eine Vergütung nach § 3 Absatz 1 Nummer 2 zu bewilligen. Zusätzlich zu der Vergütung nach Satz 1 oder Satz 2 kann der Verein Vorschuss oder Ersatz der Aufwendungen in entsprechender Anwendung von § 1877 Absatz 1 des Bürgerlichen Gesetzbuchs verlangen; § 4 Absatz 2 ist nicht anwendbar. Allgemeine Verwaltungskosten werden nicht ersetzt.</w:t>
      </w:r>
    </w:p>
    <w:p>
      <w:r>
        <w:t xml:space="preserve">(2) Der Vereinsvormund selbst kann keine Vergütung und keinen Aufwendungsersatz geltend machen.</w:t>
      </w:r>
    </w:p>
    <w:p>
      <w:r>
        <w:rPr>
          <w:color w:val="555555"/>
          <w:sz w:val="17"/>
        </w:rPr>
        <w:t xml:space="preserve">Zitiervorschlag: § 5 VBVG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https://recht.nulegal.eu/gesetze/VBVG%202023/5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