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VBVG 2023 — Aufwendungsersatz des Vormunds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Für seine anlässlich der Führung der Vormundschaft erforderlichen Aufwendungen kann der Berufsvormund Vorschuss oder Ersatz in entsprechender Anwendung des § 1877 Absatz 1 des Bürgerlichen Gesetzbuchs verlangen.</w:t>
      </w:r>
    </w:p>
    <w:p>
      <w:r>
        <w:t xml:space="preserve">(2) Für solche Dienste, die zu seinem Gewerbe oder seinem Beruf gehören, kann der Berufsvormund anstelle der Vergütung nach § 1 Absatz 3 als Aufwendung Ersatz in entsprechender Anwendung des § 1877 Absatz 3 des Bürgerlichen Gesetzbuchs verlangen.</w:t>
      </w:r>
    </w:p>
    <w:p>
      <w:r>
        <w:rPr>
          <w:color w:val="555555"/>
          <w:sz w:val="17"/>
        </w:rPr>
        <w:t xml:space="preserve">Zitiervorschlag: § 4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