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VBVG 2023 — Ansprüche von Betreuern, die vor Inkrafttreten des Betreuungsorganisationsgesetzes bereits berufsmäßig Betreuungen geführt haben</w:t>
      </w:r>
    </w:p>
    <w:p>
      <w:r>
        <w:rPr>
          <w:color w:val="555555"/>
          <w:sz w:val="18"/>
        </w:rPr>
        <w:t xml:space="preserve">Vormünder- und Betreuervergütungsgesetz</w:t>
      </w:r>
    </w:p>
    <w:p>
      <w:r>
        <w:rPr>
          <w:color w:val="555555"/>
          <w:sz w:val="18"/>
        </w:rPr>
        <w:t xml:space="preserve">Stand: 01.01.2026 (konsolidierte Textfassung, kein amtliches Inkrafttretensdatum)</w:t>
      </w:r>
    </w:p>
    <w:p>
      <w:r>
        <w:t xml:space="preserve">(1) Für berufliche Betreuer, die bis einschließlich 1. Januar 2023 seit weniger als drei Jahren berufliche Betreuungen führen, gilt § 4 Absatz 2 bis 4 des Vormünder- und Betreuervergütungsgesetzes vom 21. April 2005 (BGBl. I S. 1073, 1076), das zuletzt durch Artikel 1 des Gesetzes vom 22. Juni 2019 (BGBl. I S. 866) geändert worden ist, in der bis einschließlich 31. Dezember 2022 geltenden Fassung, bis sie ihre Sachkunde nach § 32 Absatz 2 Satz 2 des Betreuungsorganisationsgesetzes gegenüber der Stammbehörde nachgewiesen haben.</w:t>
      </w:r>
    </w:p>
    <w:p>
      <w:r>
        <w:t xml:space="preserve">(2) Soweit durch Landesrecht auf der Grundlage von § 11 des Vormünder- und Betreuervergütungsgesetzes vom 21. April 2005 (BGBl. I S. 1073, 1076), das zuletzt durch Artikel 1 des Gesetzes vom 22. Juni 2019 (BGBl. I S. 866) geändert worden ist, in der bis einschließlich 1. Januar 2023 geltenden Fassung oder von § 2 des Berufsvormündervergütungsgesetzes vom 25. Juni 1998 (BGBl. I S. 1580, 1586), das zuletzt durch Artikel 29 des Gesetzes vom 13. Dezember 2001 (BGBl. I S. 3574) geändert worden ist, in der bis einschließlich 30. Juni 2005 geltenden Fassung Prüfungsleistungen mit Abschlüssen gleichgestellt sind, sind die Prüfungsleistungen bei der Feststellung, nach welcher Vergütungsstufe sich die Vergütung richtet, im Verfahren nach § 8 Absatz 2 und 3 entsprechend zu Grunde zu legen.</w:t>
      </w:r>
    </w:p>
    <w:p>
      <w:r>
        <w:rPr>
          <w:color w:val="555555"/>
          <w:sz w:val="17"/>
        </w:rPr>
        <w:t xml:space="preserve">Zitiervorschlag: § 20 VBVG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https://recht.nulegal.eu/gesetze/VBVG%202023/20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