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VBVG 2023 — Zahlung aus der Staatskasse und Rückgriff, Erlöschen und Geltendmachung der Ansprüche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Ist der Mündel mittellos im Sinne von § 1880 des Bürgerlichen Gesetzbuchs, so kann der Vormund Vergütung sowie Vorschuss oder Ersatz der Aufwendungen aus der Staatskasse verlangen.</w:t>
      </w:r>
    </w:p>
    <w:p>
      <w:r>
        <w:t xml:space="preserve">(2) Die Ansprüche auf Vergütung und Aufwendungsersatz erlöschen, wenn sie nicht binnen 15 Monaten nach ihrer Entstehung gerichtlich geltend gemacht werden. § 1877 Absatz 4 Satz 2 und 3 sowie Absatz 5 des Bürgerlichen Gesetzbuchs gilt entsprechend.</w:t>
      </w:r>
    </w:p>
    <w:p>
      <w:r>
        <w:rPr>
          <w:color w:val="555555"/>
          <w:sz w:val="17"/>
        </w:rPr>
        <w:t xml:space="preserve">Zitiervorschlag: § 2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