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VBVG 2023 — Vergütung und Aufwendungsersatz für Betreuungsvereine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Ist der Betreuungsverein nach § 1818 Absatz 1 des Bürgerlichen Gesetzbuchs als Betreuer bestellt, ist ihm eine Vergütung nach den §§ 8 und 9 zu bewilligen, wenn der Mitarbeiter, dem die Führung der Betreuung gemäß § 1818 Absatz 2 Satz 1 des Bürgerlichen Gesetzbuchs übertragen worden ist, als beruflicher Betreuer registriert ist. Die Höhe der Vergütung richtet sich nach der aufgrund der Feststellung nach § 8 Absatz 3 für den Mitarbeiter anzuwendenden Vergütungsstufe. Eine Vergütung ist auch dann zu bewilligen, wenn der Mitarbeiter spätestens sechs Monate nach Beginn seiner Tätigkeit für den Betreuungsverein registriert ist.</w:t>
      </w:r>
    </w:p>
    <w:p>
      <w:r>
        <w:t xml:space="preserve">(2) In den Fällen des § 1817 Absatz 4 und 5 des Bürgerlichen Gesetzbuchs sind dem Betreuungsverein nach Maßgabe des Absatzes 1 Vergütung und Aufwendungsersatz nach § 11 zu bewilligen. Aufwendungen im Sinne von § 1877 Absatz 3 des Bürgerlichen Gesetzbuchs kann der Verein nicht geltend machen. Allgemeine Verwaltungskosten werden nicht ersetzt.</w:t>
      </w:r>
    </w:p>
    <w:p>
      <w:r>
        <w:rPr>
          <w:color w:val="555555"/>
          <w:sz w:val="17"/>
        </w:rPr>
        <w:t xml:space="preserve">Zitiervorschlag: § 12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